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Сведения о количестве субъектов МСП на территории муниципального образования «Город Батайск» и их классификации по видам деятельности</w:t>
      </w:r>
    </w:p>
    <w:tbl>
      <w:tblPr>
        <w:tblStyle w:val="TableNormal"/>
        <w:tblW w:w="10205" w:type="dxa"/>
        <w:jc w:val="left"/>
        <w:tblInd w:w="-52" w:type="dxa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41"/>
        <w:gridCol w:w="2041"/>
        <w:gridCol w:w="2041"/>
        <w:gridCol w:w="2041"/>
        <w:gridCol w:w="2041"/>
      </w:tblGrid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Основной вид деятельности субъектов малого предпринимательства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2019г.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2020г.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2021г.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2022г.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Всего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1554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1500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1505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1404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Добыча полезных ископаемых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Обрабатывающие производства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119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в области информации и связи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15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обеспечение электрической энергией , газом, паром, кондиционировние воздуха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Строительство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30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816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793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804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807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Транспортировка и хранение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33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28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по операциям с недвижимым имуществом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ascii="Verdana" w:hAnsi="Verdana" w:cs="Arial"/>
                <w:color w:val="1B1B1B"/>
                <w:kern w:val="2"/>
                <w:sz w:val="22"/>
                <w:szCs w:val="22"/>
                <w:lang w:val="ru-RU" w:eastAsia="zh-CN"/>
              </w:rPr>
            </w:pPr>
            <w:r>
              <w:rPr>
                <w:rFonts w:cs="Arial" w:ascii="Verdana" w:hAnsi="Verdana"/>
                <w:color w:val="1B1B1B"/>
                <w:kern w:val="2"/>
                <w:sz w:val="22"/>
                <w:szCs w:val="22"/>
                <w:shd w:fill="auto" w:val="clear"/>
                <w:lang w:val="ru-RU" w:eastAsia="zh-CN"/>
              </w:rPr>
              <w:t>Сельское , лесное хозяйство, охота , рыболовство и рыбоводство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3</w:t>
            </w:r>
          </w:p>
        </w:tc>
      </w:tr>
      <w:tr>
        <w:trPr/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Деятельность прочих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482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479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sz w:val="21"/>
                <w:szCs w:val="20"/>
                <w:shd w:fill="auto" w:val="clear"/>
              </w:rPr>
              <w:t>396</w:t>
            </w:r>
          </w:p>
        </w:tc>
      </w:tr>
    </w:tbl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b/>
          <w:b/>
          <w:bCs/>
          <w:u w:val="single"/>
        </w:rPr>
      </w:pPr>
      <w:r>
        <w:rPr>
          <w:rFonts w:eastAsia="SimSun" w:cs="Times New Roman" w:ascii="Times New Roman" w:hAnsi="Times New Roman"/>
          <w:b/>
          <w:bCs/>
          <w:color w:val="1B1B1B"/>
          <w:sz w:val="27"/>
          <w:szCs w:val="20"/>
          <w:u w:val="single"/>
        </w:rPr>
        <w:t>Справочно, на 01.01.2022 в городе Батайске зарегистрировано 3684 самозанятых.</w:t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rFonts w:ascii="Times New Roman" w:hAnsi="Times New Roman" w:eastAsia="SimSun" w:cs="Times New Roman"/>
          <w:b/>
          <w:b/>
          <w:bCs/>
          <w:color w:val="E0E0E0"/>
          <w:sz w:val="27"/>
          <w:szCs w:val="20"/>
          <w:u w:val="single"/>
        </w:rPr>
      </w:pPr>
      <w:r>
        <w:rPr>
          <w:rFonts w:eastAsia="SimSun" w:cs="Times New Roman" w:ascii="Times New Roman" w:hAnsi="Times New Roman"/>
          <w:b/>
          <w:bCs/>
          <w:color w:val="E0E0E0"/>
          <w:sz w:val="27"/>
          <w:szCs w:val="20"/>
          <w:u w:val="single"/>
        </w:rPr>
      </w:r>
    </w:p>
    <w:p>
      <w:pPr>
        <w:pStyle w:val="Normal"/>
        <w:widowControl w:val="false"/>
        <w:tabs>
          <w:tab w:val="clear" w:pos="709"/>
        </w:tabs>
        <w:spacing w:lineRule="atLeast" w:line="480" w:before="0" w:after="0"/>
        <w:jc w:val="both"/>
        <w:rPr>
          <w:color w:val="1B1B1B"/>
        </w:rPr>
      </w:pPr>
      <w:r>
        <w:rPr>
          <w:rFonts w:eastAsia="SimSun" w:cs="Times New Roman" w:ascii="Times New Roman" w:hAnsi="Times New Roman"/>
          <w:b/>
          <w:color w:val="1B1B1B"/>
          <w:sz w:val="27"/>
          <w:szCs w:val="20"/>
          <w:shd w:fill="auto" w:val="clear"/>
        </w:rPr>
        <w:t>Основные показатели деятельности малых и средних предприятий (в т. ч. микропредприятий) города Батайска</w:t>
      </w:r>
    </w:p>
    <w:tbl>
      <w:tblPr>
        <w:tblStyle w:val="TableNormal"/>
        <w:tblW w:w="10260" w:type="dxa"/>
        <w:jc w:val="left"/>
        <w:tblInd w:w="-52" w:type="dxa"/>
        <w:tblCellMar>
          <w:top w:w="75" w:type="dxa"/>
          <w:left w:w="56" w:type="dxa"/>
          <w:bottom w:w="56" w:type="dxa"/>
          <w:right w:w="151" w:type="dxa"/>
        </w:tblCellMar>
        <w:tblLook w:firstRow="0" w:noVBand="1" w:lastRow="0" w:firstColumn="0" w:lastColumn="0" w:noHBand="1" w:val="0600"/>
      </w:tblPr>
      <w:tblGrid>
        <w:gridCol w:w="2035"/>
        <w:gridCol w:w="2047"/>
        <w:gridCol w:w="2041"/>
        <w:gridCol w:w="2034"/>
        <w:gridCol w:w="2103"/>
      </w:tblGrid>
      <w:tr>
        <w:trPr/>
        <w:tc>
          <w:tcPr>
            <w:tcW w:w="203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b/>
                <w:b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b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lang w:val="ru-RU" w:eastAsia="zh-CN"/>
              </w:rPr>
              <w:t>2019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lang w:val="ru-RU" w:eastAsia="zh-CN"/>
              </w:rPr>
              <w:t>2020</w:t>
            </w:r>
          </w:p>
        </w:tc>
        <w:tc>
          <w:tcPr>
            <w:tcW w:w="2034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2021</w:t>
            </w:r>
          </w:p>
        </w:tc>
        <w:tc>
          <w:tcPr>
            <w:tcW w:w="2103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2022</w:t>
            </w:r>
          </w:p>
        </w:tc>
      </w:tr>
      <w:tr>
        <w:trPr/>
        <w:tc>
          <w:tcPr>
            <w:tcW w:w="203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>
                <w:rFonts w:ascii="Verdana" w:hAnsi="Verdana" w:eastAsia="SimSun" w:cs="Times New Roman"/>
                <w:color w:val="1B1B1B"/>
                <w:sz w:val="21"/>
                <w:szCs w:val="20"/>
              </w:rPr>
            </w:pPr>
            <w:r>
              <w:rPr>
                <w:rFonts w:eastAsia="SimSun" w:cs="Times New Roman" w:ascii="Verdana" w:hAnsi="Verdana"/>
                <w:color w:val="1B1B1B"/>
                <w:kern w:val="2"/>
                <w:sz w:val="21"/>
                <w:szCs w:val="20"/>
                <w:shd w:fill="auto" w:val="clear"/>
                <w:lang w:val="ru-RU" w:eastAsia="zh-CN"/>
              </w:rPr>
              <w:t>Среднесписочная численность работников (тыс чел)</w:t>
            </w:r>
          </w:p>
        </w:tc>
        <w:tc>
          <w:tcPr>
            <w:tcW w:w="2047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6,098 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>(кроме того, 5158-ИП)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6,100</w:t>
            </w:r>
            <w:r>
              <w:rPr>
                <w:rFonts w:cs="Arial"/>
                <w:color w:val="1B1B1B"/>
                <w:kern w:val="2"/>
                <w:sz w:val="21"/>
                <w:szCs w:val="21"/>
                <w:shd w:fill="auto" w:val="clear"/>
                <w:lang w:val="ru-RU" w:eastAsia="zh-CN"/>
              </w:rPr>
              <w:t xml:space="preserve"> (кроме того, 4710-ИП)</w:t>
            </w:r>
          </w:p>
        </w:tc>
        <w:tc>
          <w:tcPr>
            <w:tcW w:w="2034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zCs w:val="20"/>
                <w:shd w:fill="auto" w:val="clear"/>
                <w:lang w:val="ru-RU" w:eastAsia="zh-CN"/>
              </w:rPr>
              <w:t>6,265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 (кроме того, 4760 -ИП)</w:t>
            </w:r>
          </w:p>
        </w:tc>
        <w:tc>
          <w:tcPr>
            <w:tcW w:w="2103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 xml:space="preserve">6,278 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 xml:space="preserve">(кроме того, 4873 - </w:t>
            </w:r>
            <w:r>
              <w:rPr>
                <w:rFonts w:cs="Arial"/>
                <w:strike w:val="false"/>
                <w:dstrike w:val="false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>ИП</w:t>
            </w:r>
            <w:r>
              <w:rPr>
                <w:rFonts w:cs="Arial"/>
                <w:color w:val="1B1B1B"/>
                <w:kern w:val="2"/>
                <w:sz w:val="20"/>
                <w:szCs w:val="20"/>
                <w:shd w:fill="auto" w:val="clear"/>
                <w:lang w:val="ru-RU" w:eastAsia="zh-CN"/>
              </w:rPr>
              <w:t>)</w:t>
            </w:r>
          </w:p>
        </w:tc>
      </w:tr>
      <w:tr>
        <w:trPr/>
        <w:tc>
          <w:tcPr>
            <w:tcW w:w="203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lang w:val="ru-RU" w:eastAsia="zh-CN"/>
              </w:rPr>
              <w:t>Среднемесячная заработная плата (тыс,руб)</w:t>
            </w:r>
          </w:p>
        </w:tc>
        <w:tc>
          <w:tcPr>
            <w:tcW w:w="2047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25,8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предприятия-25,8;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29,8</w:t>
            </w:r>
          </w:p>
        </w:tc>
        <w:tc>
          <w:tcPr>
            <w:tcW w:w="2034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предприятия-26,3;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29,9</w:t>
            </w:r>
          </w:p>
        </w:tc>
        <w:tc>
          <w:tcPr>
            <w:tcW w:w="2103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Малые предприятия-28,3;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средние — 31,5</w:t>
            </w:r>
          </w:p>
        </w:tc>
      </w:tr>
      <w:tr>
        <w:trPr/>
        <w:tc>
          <w:tcPr>
            <w:tcW w:w="203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lang w:val="ru-RU" w:eastAsia="zh-CN"/>
              </w:rPr>
              <w:t>Оборот (млн. руб)</w:t>
            </w:r>
          </w:p>
        </w:tc>
        <w:tc>
          <w:tcPr>
            <w:tcW w:w="2047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215500,0</w:t>
            </w:r>
          </w:p>
        </w:tc>
        <w:tc>
          <w:tcPr>
            <w:tcW w:w="2034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23302,5</w:t>
            </w:r>
          </w:p>
        </w:tc>
        <w:tc>
          <w:tcPr>
            <w:tcW w:w="2103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23980,0</w:t>
            </w:r>
          </w:p>
        </w:tc>
      </w:tr>
      <w:tr>
        <w:trPr/>
        <w:tc>
          <w:tcPr>
            <w:tcW w:w="2035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tabs>
                <w:tab w:val="clear" w:pos="709"/>
              </w:tabs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yle16"/>
                <w:rFonts w:eastAsia="SimSun" w:cs="Times New Roman" w:ascii="Verdana" w:hAnsi="Verdana"/>
                <w:color w:val="1B1B1B"/>
                <w:kern w:val="2"/>
                <w:sz w:val="21"/>
                <w:szCs w:val="20"/>
                <w:u w:val="none" w:color="FFFFFF"/>
                <w:lang w:val="ru-RU" w:eastAsia="zh-CN"/>
              </w:rPr>
              <w:t>Инвестиции в основной капитал(млн. руб)</w:t>
            </w:r>
          </w:p>
        </w:tc>
        <w:tc>
          <w:tcPr>
            <w:tcW w:w="2047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1712,8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2014,8</w:t>
            </w:r>
          </w:p>
        </w:tc>
        <w:tc>
          <w:tcPr>
            <w:tcW w:w="2034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2230,6</w:t>
            </w:r>
          </w:p>
        </w:tc>
        <w:tc>
          <w:tcPr>
            <w:tcW w:w="2103" w:type="dxa"/>
            <w:tcBorders>
              <w:top w:val="single" w:sz="6" w:space="0" w:color="E0E0E0"/>
              <w:left w:val="single" w:sz="6" w:space="0" w:color="E0E0E0"/>
            </w:tcBorders>
            <w:shd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cs="Arial"/>
                <w:color w:val="1B1B1B"/>
                <w:kern w:val="2"/>
                <w:sz w:val="24"/>
                <w:lang w:val="ru-RU" w:eastAsia="zh-CN"/>
              </w:rPr>
            </w:pPr>
            <w:r>
              <w:rPr>
                <w:rFonts w:cs="Arial"/>
                <w:color w:val="1B1B1B"/>
                <w:kern w:val="2"/>
                <w:sz w:val="24"/>
                <w:shd w:fill="auto" w:val="clear"/>
                <w:lang w:val="ru-RU" w:eastAsia="zh-CN"/>
              </w:rPr>
              <w:t>2407,0</w:t>
            </w:r>
          </w:p>
        </w:tc>
      </w:tr>
    </w:tbl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1B1B1B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1B1B1B"/>
          <w:sz w:val="24"/>
          <w:szCs w:val="24"/>
          <w:shd w:fill="auto" w:val="clear"/>
          <w:lang w:eastAsia="zh-CN"/>
        </w:rPr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</w:r>
    </w:p>
    <w:p>
      <w:pPr>
        <w:pStyle w:val="2"/>
        <w:spacing w:lineRule="auto" w:line="240"/>
        <w:jc w:val="center"/>
        <w:rPr/>
      </w:pPr>
      <w:hyperlink r:id="rId2">
        <w:r>
          <w:rPr>
            <w:rStyle w:val="Styl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41FE9"/>
            <w:spacing w:val="0"/>
            <w:sz w:val="32"/>
            <w:szCs w:val="32"/>
            <w:u w:val="none"/>
            <w:effect w:val="none"/>
          </w:rPr>
  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Муниципального образования «Город Батайск» по итогам 2021года.</w:t>
        </w:r>
      </w:hyperlink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shd w:fill="auto" w:val="clear"/>
        </w:rPr>
        <w:t>Анализ состояния, проблем и перспектив развития малого и среднего предпринимательства на территории муниципального образования «Город Батайск» по итогам 2021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В течение последних лет структура малых предприятий на территории города Батайска по видам экономической деятельности сохраняется практически  без изменений. Преимущественное развитие в данном сегменте предпринимательства имеет торговля и сфера услуг.</w:t>
      </w:r>
    </w:p>
    <w:p>
      <w:pPr>
        <w:pStyle w:val="Style20"/>
        <w:widowControl/>
        <w:spacing w:lineRule="atLeast" w:line="283" w:before="120" w:after="12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В муниципальном образовании «Город Батайск» на 01.01.2022 года количество действующих малых предприятий (в т.ч. микропредприятия) составило — 1393, средних- 11 (аналогичный период 2021 года: 1505/15 соотвественно).</w:t>
      </w:r>
    </w:p>
    <w:p>
      <w:pPr>
        <w:pStyle w:val="Style20"/>
        <w:widowControl/>
        <w:spacing w:lineRule="atLeast" w:line="283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Предотвратить резкое замедление и падение в развитии бизнеса в связи с ограничительными мерами на территории Ростовской области (постановление Правительства Ростовской области от 05.04.2020 № 272), направленными на  предупреждение распространения новой коронавирусной инфекции (COVID-19), позволили Программа государственной поддержки и масштабные мероприятия, направленные на сохранение предпринимательства в донском крае (утверждены  Правительством Ростовской области 29.04.2020).</w:t>
      </w:r>
    </w:p>
    <w:p>
      <w:pPr>
        <w:pStyle w:val="Style20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 xml:space="preserve">В целом, с учетом количества, действующий на территории муниципального образования «Город Батайск» индивидуальных предпринимателей, прослеживается динамика развития субъектов малого и среднего предпринимательства: </w:t>
      </w:r>
    </w:p>
    <w:p>
      <w:pPr>
        <w:pStyle w:val="Style20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на 01. 01.2022 ИП -4873; на 01.01.2021- 4760).</w:t>
      </w:r>
    </w:p>
    <w:p>
      <w:pPr>
        <w:pStyle w:val="Style20"/>
        <w:widowControl/>
        <w:spacing w:lineRule="auto" w:line="240" w:before="0" w:after="0"/>
        <w:ind w:left="0" w:right="0" w:hanging="0"/>
        <w:jc w:val="both"/>
        <w:rPr/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Основные проблемы, перспективы развития малого и среднего предпринимательства на территории муниципального образования «Город Батайск».</w:t>
      </w:r>
    </w:p>
    <w:p>
      <w:pPr>
        <w:pStyle w:val="Style20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На развитие предпринимательства на территории города Батайска серьезное влияние оказывают существующие факторы сложившейся экономической ситуации и связанные с ней общие проблемы:</w:t>
      </w:r>
    </w:p>
    <w:p>
      <w:pPr>
        <w:pStyle w:val="Style20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- невысокая доля предприятий производственной сферы, преобладание сферы торговли;</w:t>
      </w:r>
    </w:p>
    <w:p>
      <w:pPr>
        <w:pStyle w:val="Style20"/>
        <w:widowControl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>- снижающаяся предпринимательская активность молодежи в связи с ограничениями по санитарно-эпидемиологической обстановке;</w:t>
      </w:r>
    </w:p>
    <w:p>
      <w:pPr>
        <w:pStyle w:val="Style20"/>
        <w:widowControl/>
        <w:tabs>
          <w:tab w:val="clear" w:pos="709"/>
          <w:tab w:val="left" w:pos="0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eastAsia="zh-CN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деятельности.</w:t>
      </w:r>
    </w:p>
    <w:p>
      <w:pPr>
        <w:pStyle w:val="Normal"/>
        <w:shd w:val="clear" w:color="auto" w:fill="FFFFFF"/>
        <w:spacing w:lineRule="auto" w:line="240" w:before="0" w:after="0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сфере обслуживания необходимо отметить следующие тенденции: рестораны, салоны красоты, торговые центры, туризм и многие другие отрасли, продолжительное время оставались без потребительского спроса. Многие предприятия столкнулись с непредвиденными обстоятельствами, в которых нужно было стараться «держаться на плаву». Это связано с тем, что выручка стремительно снижалась, при этом долговые обязательства оставались6 во время режима самоизоляции и нерабочих дней сохранялись выплаты заработной платы сотрудникам, имелись перебои в логистике из-за закрытия национальных границ, угрожал риск заражения сотрудников, приходилось приостанавливать производственный процесс, отсутствовали возможности сбыть продукцию и непонимание – как в такой ситуации действовать.</w:t>
        <w:br/>
        <w:tab/>
        <w:t xml:space="preserve">Малый бизнес продолжает нести издержки, связанные с приобретением телекоммуникационного оборудования, техники, которая позволяла продолжать работать в дистанционном формате, кроме того, возникает необходимость постоянно закупать и поддерживать запасы товаров медицинского назначения, дезсредвст и др.  </w:t>
        <w:tab/>
        <w:t>Следует отметить, что сфера малого и среднего предпринимательства не осталась без государственной поддержки. Государством своевременно было реализовано большое количество мероприятий, направленных на поддержку МСП во время COVID-19 и обеспечивающих устойчивое развития в условиях ухудшения ситуации .</w:t>
      </w:r>
    </w:p>
    <w:p>
      <w:pPr>
        <w:pStyle w:val="Normal"/>
        <w:shd w:val="clear" w:color="auto" w:fill="FFFFFF"/>
        <w:spacing w:lineRule="auto" w:line="240" w:before="0" w:after="0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 w:val="false"/>
          <w:iCs w:val="false"/>
          <w:sz w:val="28"/>
          <w:szCs w:val="28"/>
        </w:rPr>
        <w:t>В рамках реализации постановления Администрации города Батайск от 07.04.2020 № 657 «Об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 «Город Батайск» в условиях распространения коронавирусной инфекции (COVID-2019) проведен ряд мероприятий, в том числе, по информированию о Плане преодоления экономических последствий новой  коронавирусной инфекции Правительства Российской Федерации и Мерах поддержки бизнеса для преодоления последствий новой коронавирусной инфекции  Ростовской области.</w:t>
      </w:r>
    </w:p>
    <w:p>
      <w:pPr>
        <w:pStyle w:val="Normal"/>
        <w:shd w:val="clear" w:color="auto" w:fill="FFFFFF"/>
        <w:spacing w:lineRule="auto" w:line="240" w:before="0" w:after="0"/>
        <w:ind w:left="14" w:hanging="0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ab/>
        <w:t xml:space="preserve">В сложившейся экономической ситуации развития бизнеса на территории города Батайска наметились положительные изменения, связанные с проблемами неформальной занятости и легализацией своей деятельности в качестве самозанятых. </w:t>
      </w:r>
    </w:p>
    <w:p>
      <w:pPr>
        <w:pStyle w:val="Normal"/>
        <w:shd w:val="clear" w:color="auto" w:fill="FFFFFF"/>
        <w:spacing w:lineRule="auto" w:line="240" w:before="0" w:after="0"/>
        <w:ind w:left="14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По состоянию на 01.01.2022 в городе Батайске зарегистрировано 3684 самозанятых (на 01.01.2021- 1029).</w:t>
      </w:r>
    </w:p>
    <w:p>
      <w:pPr>
        <w:pStyle w:val="Normal"/>
        <w:shd w:val="clear" w:color="auto" w:fill="FFFFFF"/>
        <w:spacing w:lineRule="auto" w:line="240" w:before="0" w:after="0"/>
        <w:ind w:left="14" w:hanging="0"/>
        <w:jc w:val="both"/>
        <w:rPr/>
      </w:pPr>
      <w:r>
        <w:rPr>
          <w:rFonts w:ascii="Times New Roman" w:hAnsi="Times New Roman"/>
          <w:sz w:val="28"/>
          <w:szCs w:val="28"/>
          <w:u w:val="none"/>
        </w:rPr>
        <w:tab/>
        <w:t>В ходе мониторинга было установлено, что 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лавным мотивом получения данного статуса является изменение условий стандартных трудовых отношений; сохранение возможности быть официально устроенным, но при этом основной заработок получать именно от самозанятости, которая способствует реализации важных жизненных целей. Большая часть самозанятых граждан имеют определенный пенсионный план на будущее. 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Введенная система самозанятости важна для студентов, которые теперь могут находить себе подработку на легальных условиях. Статус самозанятости позволяет им наладить свою профессиональную деятельность и пройт</w:t>
      </w:r>
      <w:r>
        <w:rPr>
          <w:rFonts w:ascii="Times New Roman" w:hAnsi="Times New Roman"/>
          <w:sz w:val="28"/>
          <w:szCs w:val="28"/>
        </w:rPr>
        <w:t>и социализацию в определенной сфере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ab/>
        <w:t xml:space="preserve">Таким образом, усилена роль работающих на себя и увеличен их вклада в развитие экономики города Батайска и региона.  Особенно ярко успехи самозанятых проявились в онлайн-сфере, которая на фоне распространения коронавируса вышла на передний план почти во всех сферах жизни. 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ab/>
        <w:t xml:space="preserve">Рост выручка наблюдается у самозанятых, продающих в интернете одежду и обувь,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поставщиков аудио- и видеоконтента. Большим спросом пользовались и образовательные услуги, изделия продавцов сувениров и товаров для хобби, а также персональные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Style18"/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Развитие инфраструктуры поддержки субъектов малого и среднего предпринимательства.</w:t>
      </w:r>
    </w:p>
    <w:p>
      <w:pPr>
        <w:pStyle w:val="Style20"/>
        <w:tabs>
          <w:tab w:val="clear" w:pos="709"/>
          <w:tab w:val="left" w:pos="0" w:leader="none"/>
        </w:tabs>
        <w:suppressAutoHyphens w:val="true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</w:rPr>
        <w:tab/>
        <w:t>В настоящее время в городе не осуществляют деятельность организации - объекты инфраструктуры поддержки субъектов малого и среднего предпринимательства.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auto"/>
      <w:kern w:val="2"/>
      <w:sz w:val="22"/>
      <w:szCs w:val="22"/>
      <w:lang w:val="ru-RU" w:eastAsia="zh-CN" w:bidi="ar-SA"/>
    </w:rPr>
  </w:style>
  <w:style w:type="paragraph" w:styleId="2">
    <w:name w:val="Heading 2"/>
    <w:basedOn w:val="Style19"/>
    <w:next w:val="Style20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 w:default="1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qFormat/>
    <w:rPr/>
  </w:style>
  <w:style w:type="character" w:styleId="Style16">
    <w:name w:val="Интернет-ссылка"/>
    <w:rPr>
      <w:color w:val="0000FF"/>
      <w:u w:val="single" w:color="FFFFFF"/>
    </w:rPr>
  </w:style>
  <w:style w:type="character" w:styleId="Style17">
    <w:name w:val="Символ концевой сноски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qFormat/>
    <w:pPr>
      <w:spacing w:lineRule="auto" w:line="276" w:before="0" w:after="140"/>
    </w:pPr>
    <w:rPr/>
  </w:style>
  <w:style w:type="paragraph" w:styleId="Style21">
    <w:name w:val="List"/>
    <w:basedOn w:val="Style20"/>
    <w:qFormat/>
    <w:pPr/>
    <w:rPr/>
  </w:style>
  <w:style w:type="paragraph" w:styleId="Style22" w:customStyle="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Красная строка*"/>
    <w:basedOn w:val="Style20"/>
    <w:qFormat/>
    <w:pPr>
      <w:widowControl w:val="false"/>
      <w:tabs>
        <w:tab w:val="clear" w:pos="709"/>
      </w:tabs>
      <w:suppressAutoHyphens w:val="true"/>
      <w:spacing w:lineRule="auto" w:line="240" w:before="0" w:after="120"/>
      <w:ind w:firstLine="210"/>
    </w:pPr>
    <w:rPr>
      <w:rFonts w:ascii="Times New Roman" w:hAnsi="Times New Roman" w:eastAsia="Times New Roman" w:cs="Calibri"/>
      <w:sz w:val="24"/>
      <w:szCs w:val="20"/>
      <w:lang w:eastAsia="zh-CN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dmkirovskoe.ru/podderzhka-predprinimatelstva/2116-65465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</TotalTime>
  <Application>LibreOffice/6.3.4.2$Windows_X86_64 LibreOffice_project/60da17e045e08f1793c57c00ba83cdfce946d0aa</Application>
  <Pages>4</Pages>
  <Words>920</Words>
  <Characters>6635</Characters>
  <CharactersWithSpaces>7477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Fin_uprav</dc:creator>
  <dc:description/>
  <dc:language>ru-RU</dc:language>
  <cp:lastModifiedBy/>
  <dcterms:modified xsi:type="dcterms:W3CDTF">2022-02-01T10:48:25Z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