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28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r/>
      <w:bookmarkStart w:id="0" w:name="_GoBack"/>
      <w:bookmarkEnd w:id="0"/>
      <w:r/>
      <w:r>
        <w:rPr>
          <w:rFonts w:ascii="Times New Roman" w:hAnsi="Times New Roman" w:eastAsia="Calibri"/>
          <w:b/>
          <w:sz w:val="28"/>
          <w:szCs w:val="28"/>
        </w:rPr>
        <w:t xml:space="preserve">АЛГОРИТМ ДЕЙСТВИЙ ИНВЕСТОРА ПРИ РЕАЛИЗАЦИИ ИНВЕСТИЦИОННЫХ ПРОЕКТОВ </w:t>
      </w:r>
      <w:r>
        <w:rPr>
          <w:rFonts w:ascii="Times New Roman" w:hAnsi="Times New Roman" w:eastAsia="Calibri"/>
          <w:b/>
          <w:sz w:val="28"/>
          <w:szCs w:val="28"/>
        </w:rPr>
        <w:br w:type="textWrapping"/>
      </w:r>
      <w:r>
        <w:rPr>
          <w:rFonts w:ascii="Times New Roman" w:hAnsi="Times New Roman" w:eastAsia="Calibri"/>
          <w:b/>
          <w:sz w:val="28"/>
          <w:szCs w:val="28"/>
        </w:rPr>
        <w:t xml:space="preserve">ДЛЯ ОБЕСПЕЧЕНИЯ ДОСТУПА К ДОРОЖНОЙ ИНФРАСТРУКТУРЕ ПУТЕМ СТРОИТЕЛЬСТВА </w:t>
      </w:r>
      <w:r>
        <w:rPr>
          <w:rFonts w:ascii="Times New Roman" w:hAnsi="Times New Roman" w:eastAsia="Calibri"/>
          <w:b/>
          <w:sz w:val="28"/>
          <w:szCs w:val="28"/>
        </w:rPr>
        <w:br w:type="textWrapping"/>
      </w:r>
      <w:r>
        <w:rPr>
          <w:rFonts w:ascii="Times New Roman" w:hAnsi="Times New Roman" w:eastAsia="Calibri"/>
          <w:b/>
          <w:sz w:val="28"/>
          <w:szCs w:val="28"/>
        </w:rPr>
        <w:t xml:space="preserve">ИЛИ РЕКОНСТРУКЦИИ ПЕРЕСЕЧЕНИЙ И (ИЛИ) ПРИМЫКАНИЙ К АВТОМОБИЛЬНЫМ ДОРОГАМ </w:t>
      </w:r>
      <w:r>
        <w:rPr>
          <w:rFonts w:ascii="Times New Roman" w:hAnsi="Times New Roman" w:eastAsia="Calibri"/>
          <w:b/>
          <w:sz w:val="28"/>
          <w:szCs w:val="28"/>
        </w:rPr>
        <w:br w:type="textWrapping"/>
      </w:r>
      <w:r>
        <w:rPr>
          <w:rFonts w:ascii="Times New Roman" w:hAnsi="Times New Roman" w:eastAsia="Calibri"/>
          <w:b/>
          <w:sz w:val="28"/>
          <w:szCs w:val="28"/>
        </w:rPr>
        <w:t xml:space="preserve">ОБЩЕГО ПОЛЬЗОВАНИЯ РЕГИОНАЛЬНОГО И МЕЖМУНИЦИПАЛЬНОГО ЗНАЧЕНИЯ, </w:t>
      </w:r>
      <w:r>
        <w:rPr>
          <w:rFonts w:ascii="Times New Roman" w:hAnsi="Times New Roman" w:eastAsia="Calibri"/>
          <w:b/>
          <w:sz w:val="28"/>
          <w:szCs w:val="28"/>
        </w:rPr>
        <w:br w:type="textWrapping"/>
      </w:r>
      <w:r>
        <w:rPr>
          <w:rFonts w:ascii="Times New Roman" w:hAnsi="Times New Roman" w:eastAsia="Calibri"/>
          <w:b/>
          <w:sz w:val="28"/>
          <w:szCs w:val="28"/>
        </w:rPr>
        <w:t>ОТНОСЯЩИХСЯ К СОБСТВЕННОСТИ РОСТОВСКОЙ ОБЛАСТИ</w:t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spacing w:after="0" w:line="228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</w:r>
    </w:p>
    <w:tbl>
      <w:tblPr>
        <w:tblStyle w:val="NormalTable"/>
        <w:name w:val="Таблица1"/>
        <w:tabOrder w:val="0"/>
        <w:jc w:val="center"/>
        <w:tblInd w:w="0" w:type="dxa"/>
        <w:tblW w:w="15021" w:type="dxa"/>
        <w:tblLook w:val="0000" w:firstRow="0" w:lastRow="0" w:firstColumn="0" w:lastColumn="0" w:noHBand="0" w:noVBand="0"/>
      </w:tblPr>
      <w:tblGrid>
        <w:gridCol w:w="594"/>
        <w:gridCol w:w="2714"/>
        <w:gridCol w:w="940"/>
        <w:gridCol w:w="1177"/>
        <w:gridCol w:w="776"/>
        <w:gridCol w:w="2052"/>
        <w:gridCol w:w="1665"/>
        <w:gridCol w:w="1843"/>
        <w:gridCol w:w="1559"/>
        <w:gridCol w:w="1701"/>
      </w:tblGrid>
      <w:tr>
        <w:trPr>
          <w:cantSplit w:val="0"/>
          <w:trHeight w:val="915" w:hRule="atLeast"/>
        </w:trPr>
        <w:tc>
          <w:tcPr>
            <w:tcW w:w="59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1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Шаг алгоритма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(Процедура)</w:t>
            </w:r>
          </w:p>
        </w:tc>
        <w:tc>
          <w:tcPr>
            <w:tcW w:w="94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фактиче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целевой</w:t>
            </w:r>
          </w:p>
        </w:tc>
        <w:tc>
          <w:tcPr>
            <w:tcW w:w="77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док-ов</w:t>
            </w:r>
          </w:p>
        </w:tc>
        <w:tc>
          <w:tcPr>
            <w:tcW w:w="20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Входящие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166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Результирующие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1843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15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Категории инвестиционных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7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</w:tbl>
    <w:p>
      <w:pPr>
        <w:spacing w:after="0" w:line="228" w:lineRule="auto"/>
        <w:rPr>
          <w:rFonts w:ascii="Times New Roman" w:hAnsi="Times New Roman" w:eastAsia="Calibri"/>
          <w:sz w:val="2"/>
          <w:szCs w:val="2"/>
        </w:rPr>
      </w:pPr>
      <w:r>
        <w:rPr>
          <w:rFonts w:ascii="Times New Roman" w:hAnsi="Times New Roman" w:eastAsia="Calibri"/>
          <w:sz w:val="2"/>
          <w:szCs w:val="2"/>
        </w:rPr>
      </w:r>
    </w:p>
    <w:tbl>
      <w:tblPr>
        <w:tblStyle w:val="NormalTable"/>
        <w:name w:val="Таблица2"/>
        <w:tabOrder w:val="0"/>
        <w:jc w:val="center"/>
        <w:tblInd w:w="0" w:type="dxa"/>
        <w:tblW w:w="15021" w:type="dxa"/>
        <w:tblLook w:val="0000" w:firstRow="0" w:lastRow="0" w:firstColumn="0" w:lastColumn="0" w:noHBand="0" w:noVBand="0"/>
      </w:tblPr>
      <w:tblGrid>
        <w:gridCol w:w="594"/>
        <w:gridCol w:w="2714"/>
        <w:gridCol w:w="940"/>
        <w:gridCol w:w="1177"/>
        <w:gridCol w:w="776"/>
        <w:gridCol w:w="2052"/>
        <w:gridCol w:w="1665"/>
        <w:gridCol w:w="1843"/>
        <w:gridCol w:w="1559"/>
        <w:gridCol w:w="1701"/>
      </w:tblGrid>
      <w:tr>
        <w:trPr>
          <w:tblHeader/>
          <w:cantSplit w:val="0"/>
          <w:trHeight w:val="217" w:hRule="atLeast"/>
        </w:trPr>
        <w:tc>
          <w:tcPr>
            <w:tcW w:w="59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0"/>
          <w:trHeight w:val="1320" w:hRule="atLeast"/>
        </w:trPr>
        <w:tc>
          <w:tcPr>
            <w:tcW w:w="5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технических условий на строитель</w:t>
              <w:softHyphen/>
              <w:t>ство или реконструк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цию примыканий к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томобильной дороге общего пользования регионального и межмуниципального значения Ростовской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Заявление на получение технических усло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вий с указанием названия автом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бильной дороги, привязки по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лометражу и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рона размещения (право, лево);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 Схема планируемого примы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условия</w:t>
            </w:r>
          </w:p>
        </w:tc>
        <w:tc>
          <w:tcPr>
            <w:tcW w:w="18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всех инвестицион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 прое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cantSplit w:val="0"/>
          <w:trHeight w:val="1803" w:hRule="atLeast"/>
        </w:trPr>
        <w:tc>
          <w:tcPr>
            <w:tcW w:w="5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на строительство или рекон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струкцию примыкания к автомобильной дороге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общего пользования регионального и межмуниципального значения Ростовской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ется дог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вором с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ектной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Определяется догово</w:t>
            </w:r>
            <w:r>
              <w:rPr>
                <w:rFonts w:ascii="Times New Roman" w:hAnsi="Times New Roman"/>
                <w:sz w:val="24"/>
                <w:szCs w:val="24"/>
              </w:rPr>
              <w:t>ром с проек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инвестицион</w:t>
            </w:r>
            <w:r>
              <w:rPr>
                <w:rFonts w:ascii="Times New Roman" w:hAnsi="Times New Roman"/>
                <w:sz w:val="24"/>
                <w:szCs w:val="24"/>
              </w:rPr>
              <w:t>ных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разработке проект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докуме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тации инв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 взаим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действует с проектной организацией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0"/>
          <w:trHeight w:val="1803" w:hRule="atLeast"/>
        </w:trPr>
        <w:tc>
          <w:tcPr>
            <w:tcW w:w="5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согласия в письменной форме министерства транспорта Ростовской области в целях строительства или реконструкции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примыкания к автомобильной дороге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общего пользования реги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нального и межмун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значения Ростовской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ка</w:t>
            </w: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ндарный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Заявление на получение согласия;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Подлинник проектной документации. 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согласие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 статьи 20 Федерального закона от 9 ноября 2007 г. № 257- ФЗ «Об автомо</w:t>
            </w:r>
            <w:r>
              <w:rPr>
                <w:rFonts w:ascii="Times New Roman" w:hAnsi="Times New Roman"/>
                <w:sz w:val="24"/>
                <w:szCs w:val="24"/>
              </w:rPr>
              <w:t>бильных 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гах и о доро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в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и о внес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 изменений в отдельные 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акты 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инвестицион</w:t>
            </w:r>
            <w:r>
              <w:rPr>
                <w:rFonts w:ascii="Times New Roman" w:hAnsi="Times New Roman"/>
                <w:sz w:val="24"/>
                <w:szCs w:val="24"/>
              </w:rPr>
              <w:t>ных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cantSplit w:val="0"/>
          <w:trHeight w:val="1803" w:hRule="atLeast"/>
        </w:trPr>
        <w:tc>
          <w:tcPr>
            <w:tcW w:w="5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объекта (при</w:t>
              <w:softHyphen/>
              <w:t>мыкания) в эксплуата</w:t>
            </w:r>
            <w:r>
              <w:rPr>
                <w:rFonts w:ascii="Times New Roman" w:hAnsi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Заявление на приемку объекта (примыкания) в эксплуатацию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приемки объекта (примыкания) в эксплуатацию</w:t>
            </w:r>
          </w:p>
        </w:tc>
        <w:tc>
          <w:tcPr>
            <w:tcW w:w="18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инвестицион</w:t>
            </w:r>
            <w:r>
              <w:rPr>
                <w:rFonts w:ascii="Times New Roman" w:hAnsi="Times New Roman"/>
                <w:sz w:val="24"/>
                <w:szCs w:val="24"/>
              </w:rPr>
              <w:t>ных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34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Процедура оформления правоустанавливающих документов на земельные участки не относится к полномочиям министерства транспорта Росто</w:t>
      </w:r>
      <w:r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 xml:space="preserve">ской области </w:t>
      </w:r>
      <w:r>
        <w:rPr>
          <w:rFonts w:ascii="Times New Roman" w:hAnsi="Times New Roman"/>
          <w:sz w:val="24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134" w:top="567" w:right="567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00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85" w:hanging="0"/>
      </w:pPr>
    </w:lvl>
    <w:lvl w:ilvl="1">
      <w:start w:val="1"/>
      <w:numFmt w:val="lowerLetter"/>
      <w:suff w:val="tab"/>
      <w:lvlText w:val="%2."/>
      <w:lvlJc w:val="left"/>
      <w:pPr>
        <w:ind w:left="805" w:hanging="0"/>
      </w:pPr>
    </w:lvl>
    <w:lvl w:ilvl="2">
      <w:start w:val="1"/>
      <w:numFmt w:val="lowerRoman"/>
      <w:suff w:val="tab"/>
      <w:lvlText w:val="%3."/>
      <w:lvlJc w:val="left"/>
      <w:pPr>
        <w:ind w:left="1705" w:hanging="0"/>
      </w:pPr>
    </w:lvl>
    <w:lvl w:ilvl="3">
      <w:start w:val="1"/>
      <w:numFmt w:val="decimal"/>
      <w:suff w:val="tab"/>
      <w:lvlText w:val="%4."/>
      <w:lvlJc w:val="left"/>
      <w:pPr>
        <w:ind w:left="2245" w:hanging="0"/>
      </w:pPr>
    </w:lvl>
    <w:lvl w:ilvl="4">
      <w:start w:val="1"/>
      <w:numFmt w:val="lowerLetter"/>
      <w:suff w:val="tab"/>
      <w:lvlText w:val="%5."/>
      <w:lvlJc w:val="left"/>
      <w:pPr>
        <w:ind w:left="2965" w:hanging="0"/>
      </w:pPr>
    </w:lvl>
    <w:lvl w:ilvl="5">
      <w:start w:val="1"/>
      <w:numFmt w:val="lowerRoman"/>
      <w:suff w:val="tab"/>
      <w:lvlText w:val="%6."/>
      <w:lvlJc w:val="left"/>
      <w:pPr>
        <w:ind w:left="3865" w:hanging="0"/>
      </w:pPr>
    </w:lvl>
    <w:lvl w:ilvl="6">
      <w:start w:val="1"/>
      <w:numFmt w:val="decimal"/>
      <w:suff w:val="tab"/>
      <w:lvlText w:val="%7."/>
      <w:lvlJc w:val="left"/>
      <w:pPr>
        <w:ind w:left="4405" w:hanging="0"/>
      </w:pPr>
    </w:lvl>
    <w:lvl w:ilvl="7">
      <w:start w:val="1"/>
      <w:numFmt w:val="lowerLetter"/>
      <w:suff w:val="tab"/>
      <w:lvlText w:val="%8."/>
      <w:lvlJc w:val="left"/>
      <w:pPr>
        <w:ind w:left="5125" w:hanging="0"/>
      </w:pPr>
    </w:lvl>
    <w:lvl w:ilvl="8">
      <w:start w:val="1"/>
      <w:numFmt w:val="lowerRoman"/>
      <w:suff w:val="tab"/>
      <w:lvlText w:val="%9."/>
      <w:lvlJc w:val="left"/>
      <w:pPr>
        <w:ind w:left="6025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85" w:hanging="0"/>
      </w:pPr>
    </w:lvl>
    <w:lvl w:ilvl="1">
      <w:start w:val="1"/>
      <w:numFmt w:val="lowerLetter"/>
      <w:suff w:val="tab"/>
      <w:lvlText w:val="%2."/>
      <w:lvlJc w:val="left"/>
      <w:pPr>
        <w:ind w:left="805" w:hanging="0"/>
      </w:pPr>
    </w:lvl>
    <w:lvl w:ilvl="2">
      <w:start w:val="1"/>
      <w:numFmt w:val="lowerRoman"/>
      <w:suff w:val="tab"/>
      <w:lvlText w:val="%3."/>
      <w:lvlJc w:val="left"/>
      <w:pPr>
        <w:ind w:left="1705" w:hanging="0"/>
      </w:pPr>
    </w:lvl>
    <w:lvl w:ilvl="3">
      <w:start w:val="1"/>
      <w:numFmt w:val="decimal"/>
      <w:suff w:val="tab"/>
      <w:lvlText w:val="%4."/>
      <w:lvlJc w:val="left"/>
      <w:pPr>
        <w:ind w:left="2245" w:hanging="0"/>
      </w:pPr>
    </w:lvl>
    <w:lvl w:ilvl="4">
      <w:start w:val="1"/>
      <w:numFmt w:val="lowerLetter"/>
      <w:suff w:val="tab"/>
      <w:lvlText w:val="%5."/>
      <w:lvlJc w:val="left"/>
      <w:pPr>
        <w:ind w:left="2965" w:hanging="0"/>
      </w:pPr>
    </w:lvl>
    <w:lvl w:ilvl="5">
      <w:start w:val="1"/>
      <w:numFmt w:val="lowerRoman"/>
      <w:suff w:val="tab"/>
      <w:lvlText w:val="%6."/>
      <w:lvlJc w:val="left"/>
      <w:pPr>
        <w:ind w:left="3865" w:hanging="0"/>
      </w:pPr>
    </w:lvl>
    <w:lvl w:ilvl="6">
      <w:start w:val="1"/>
      <w:numFmt w:val="decimal"/>
      <w:suff w:val="tab"/>
      <w:lvlText w:val="%7."/>
      <w:lvlJc w:val="left"/>
      <w:pPr>
        <w:ind w:left="4405" w:hanging="0"/>
      </w:pPr>
    </w:lvl>
    <w:lvl w:ilvl="7">
      <w:start w:val="1"/>
      <w:numFmt w:val="lowerLetter"/>
      <w:suff w:val="tab"/>
      <w:lvlText w:val="%8."/>
      <w:lvlJc w:val="left"/>
      <w:pPr>
        <w:ind w:left="5125" w:hanging="0"/>
      </w:pPr>
    </w:lvl>
    <w:lvl w:ilvl="8">
      <w:start w:val="1"/>
      <w:numFmt w:val="lowerRoman"/>
      <w:suff w:val="tab"/>
      <w:lvlText w:val="%9."/>
      <w:lvlJc w:val="left"/>
      <w:pPr>
        <w:ind w:left="6025" w:hanging="0"/>
      </w:p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85" w:hanging="0"/>
      </w:pPr>
    </w:lvl>
    <w:lvl w:ilvl="1">
      <w:start w:val="1"/>
      <w:numFmt w:val="lowerLetter"/>
      <w:suff w:val="tab"/>
      <w:lvlText w:val="%2."/>
      <w:lvlJc w:val="left"/>
      <w:pPr>
        <w:ind w:left="805" w:hanging="0"/>
      </w:pPr>
    </w:lvl>
    <w:lvl w:ilvl="2">
      <w:start w:val="1"/>
      <w:numFmt w:val="lowerRoman"/>
      <w:suff w:val="tab"/>
      <w:lvlText w:val="%3."/>
      <w:lvlJc w:val="left"/>
      <w:pPr>
        <w:ind w:left="1705" w:hanging="0"/>
      </w:pPr>
    </w:lvl>
    <w:lvl w:ilvl="3">
      <w:start w:val="1"/>
      <w:numFmt w:val="decimal"/>
      <w:suff w:val="tab"/>
      <w:lvlText w:val="%4."/>
      <w:lvlJc w:val="left"/>
      <w:pPr>
        <w:ind w:left="2245" w:hanging="0"/>
      </w:pPr>
    </w:lvl>
    <w:lvl w:ilvl="4">
      <w:start w:val="1"/>
      <w:numFmt w:val="lowerLetter"/>
      <w:suff w:val="tab"/>
      <w:lvlText w:val="%5."/>
      <w:lvlJc w:val="left"/>
      <w:pPr>
        <w:ind w:left="2965" w:hanging="0"/>
      </w:pPr>
    </w:lvl>
    <w:lvl w:ilvl="5">
      <w:start w:val="1"/>
      <w:numFmt w:val="lowerRoman"/>
      <w:suff w:val="tab"/>
      <w:lvlText w:val="%6."/>
      <w:lvlJc w:val="left"/>
      <w:pPr>
        <w:ind w:left="3865" w:hanging="0"/>
      </w:pPr>
    </w:lvl>
    <w:lvl w:ilvl="6">
      <w:start w:val="1"/>
      <w:numFmt w:val="decimal"/>
      <w:suff w:val="tab"/>
      <w:lvlText w:val="%7."/>
      <w:lvlJc w:val="left"/>
      <w:pPr>
        <w:ind w:left="4405" w:hanging="0"/>
      </w:pPr>
    </w:lvl>
    <w:lvl w:ilvl="7">
      <w:start w:val="1"/>
      <w:numFmt w:val="lowerLetter"/>
      <w:suff w:val="tab"/>
      <w:lvlText w:val="%8."/>
      <w:lvlJc w:val="left"/>
      <w:pPr>
        <w:ind w:left="5125" w:hanging="0"/>
      </w:pPr>
    </w:lvl>
    <w:lvl w:ilvl="8">
      <w:start w:val="1"/>
      <w:numFmt w:val="lowerRoman"/>
      <w:suff w:val="tab"/>
      <w:lvlText w:val="%9."/>
      <w:lvlJc w:val="left"/>
      <w:pPr>
        <w:ind w:left="6025" w:hanging="0"/>
      </w:p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85" w:hanging="0"/>
      </w:pPr>
    </w:lvl>
    <w:lvl w:ilvl="1">
      <w:start w:val="1"/>
      <w:numFmt w:val="lowerLetter"/>
      <w:suff w:val="tab"/>
      <w:lvlText w:val="%2."/>
      <w:lvlJc w:val="left"/>
      <w:pPr>
        <w:ind w:left="805" w:hanging="0"/>
      </w:pPr>
    </w:lvl>
    <w:lvl w:ilvl="2">
      <w:start w:val="1"/>
      <w:numFmt w:val="lowerRoman"/>
      <w:suff w:val="tab"/>
      <w:lvlText w:val="%3."/>
      <w:lvlJc w:val="left"/>
      <w:pPr>
        <w:ind w:left="1705" w:hanging="0"/>
      </w:pPr>
    </w:lvl>
    <w:lvl w:ilvl="3">
      <w:start w:val="1"/>
      <w:numFmt w:val="decimal"/>
      <w:suff w:val="tab"/>
      <w:lvlText w:val="%4."/>
      <w:lvlJc w:val="left"/>
      <w:pPr>
        <w:ind w:left="2245" w:hanging="0"/>
      </w:pPr>
    </w:lvl>
    <w:lvl w:ilvl="4">
      <w:start w:val="1"/>
      <w:numFmt w:val="lowerLetter"/>
      <w:suff w:val="tab"/>
      <w:lvlText w:val="%5."/>
      <w:lvlJc w:val="left"/>
      <w:pPr>
        <w:ind w:left="2965" w:hanging="0"/>
      </w:pPr>
    </w:lvl>
    <w:lvl w:ilvl="5">
      <w:start w:val="1"/>
      <w:numFmt w:val="lowerRoman"/>
      <w:suff w:val="tab"/>
      <w:lvlText w:val="%6."/>
      <w:lvlJc w:val="left"/>
      <w:pPr>
        <w:ind w:left="3865" w:hanging="0"/>
      </w:pPr>
    </w:lvl>
    <w:lvl w:ilvl="6">
      <w:start w:val="1"/>
      <w:numFmt w:val="decimal"/>
      <w:suff w:val="tab"/>
      <w:lvlText w:val="%7."/>
      <w:lvlJc w:val="left"/>
      <w:pPr>
        <w:ind w:left="4405" w:hanging="0"/>
      </w:pPr>
    </w:lvl>
    <w:lvl w:ilvl="7">
      <w:start w:val="1"/>
      <w:numFmt w:val="lowerLetter"/>
      <w:suff w:val="tab"/>
      <w:lvlText w:val="%8."/>
      <w:lvlJc w:val="left"/>
      <w:pPr>
        <w:ind w:left="5125" w:hanging="0"/>
      </w:pPr>
    </w:lvl>
    <w:lvl w:ilvl="8">
      <w:start w:val="1"/>
      <w:numFmt w:val="lowerRoman"/>
      <w:suff w:val="tab"/>
      <w:lvlText w:val="%9."/>
      <w:lvlJc w:val="left"/>
      <w:pPr>
        <w:ind w:left="6025" w:hanging="0"/>
      </w:p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118"/>
    </w:tmLastPosCaret>
    <w:tmLastPosAnchor>
      <w:tmLastPosPgfIdx w:val="0"/>
      <w:tmLastPosIdx w:val="69"/>
    </w:tmLastPosAnchor>
    <w:tmLastPosTblRect w:left="0" w:top="0" w:right="0" w:bottom="0"/>
  </w:tmLastPos>
  <w:tmAppRevision w:date="165823734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5" w:customStyle="1">
    <w:name w:val="1"/>
    <w:qFormat/>
    <w:basedOn w:val="para0"/>
    <w:pPr>
      <w:spacing w:before="100" w:after="100" w:beforeAutospacing="1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para6">
    <w:name w:val="Body Text Indent"/>
    <w:qFormat/>
    <w:basedOn w:val="para0"/>
    <w:pPr>
      <w:ind w:left="283"/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Calibri" w:hAnsi="Calibri" w:eastAsia="Times New Roman" w:cs="Times New Roman"/>
    </w:rPr>
  </w:style>
  <w:style w:type="character" w:styleId="char2" w:customStyle="1">
    <w:name w:val="Нижний колонтитул Знак"/>
    <w:basedOn w:val="char0"/>
    <w:rPr>
      <w:rFonts w:ascii="Calibri" w:hAnsi="Calibri" w:eastAsia="Times New Roman" w:cs="Times New Roman"/>
    </w:rPr>
  </w:style>
  <w:style w:type="character" w:styleId="char3" w:customStyle="1">
    <w:name w:val="Текст выноски Знак"/>
    <w:basedOn w:val="char0"/>
    <w:rPr>
      <w:rFonts w:ascii="Tahoma" w:hAnsi="Tahoma" w:eastAsia="Times New Roman" w:cs="Tahoma"/>
      <w:sz w:val="16"/>
      <w:szCs w:val="16"/>
    </w:rPr>
  </w:style>
  <w:style w:type="character" w:styleId="char4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5" w:customStyle="1">
    <w:name w:val="1"/>
    <w:qFormat/>
    <w:basedOn w:val="para0"/>
    <w:pPr>
      <w:spacing w:before="100" w:after="100" w:beforeAutospacing="1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para6">
    <w:name w:val="Body Text Indent"/>
    <w:qFormat/>
    <w:basedOn w:val="para0"/>
    <w:pPr>
      <w:ind w:left="283"/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Calibri" w:hAnsi="Calibri" w:eastAsia="Times New Roman" w:cs="Times New Roman"/>
    </w:rPr>
  </w:style>
  <w:style w:type="character" w:styleId="char2" w:customStyle="1">
    <w:name w:val="Нижний колонтитул Знак"/>
    <w:basedOn w:val="char0"/>
    <w:rPr>
      <w:rFonts w:ascii="Calibri" w:hAnsi="Calibri" w:eastAsia="Times New Roman" w:cs="Times New Roman"/>
    </w:rPr>
  </w:style>
  <w:style w:type="character" w:styleId="char3" w:customStyle="1">
    <w:name w:val="Текст выноски Знак"/>
    <w:basedOn w:val="char0"/>
    <w:rPr>
      <w:rFonts w:ascii="Tahoma" w:hAnsi="Tahoma" w:eastAsia="Times New Roman" w:cs="Tahoma"/>
      <w:sz w:val="16"/>
      <w:szCs w:val="16"/>
    </w:rPr>
  </w:style>
  <w:style w:type="character" w:styleId="char4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MARKOSYAN</dc:creator>
  <cp:keywords/>
  <dc:description/>
  <cp:lastModifiedBy>МЭ, отд.инвест.развития</cp:lastModifiedBy>
  <cp:revision>4</cp:revision>
  <cp:lastPrinted>2022-06-09T15:13:00Z</cp:lastPrinted>
  <dcterms:created xsi:type="dcterms:W3CDTF">2022-07-19T12:41:00Z</dcterms:created>
  <dcterms:modified xsi:type="dcterms:W3CDTF">2022-07-19T13:29:00Z</dcterms:modified>
</cp:coreProperties>
</file>