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Алгоритм действий ин</w:t>
      </w:r>
      <w:r/>
      <w:bookmarkStart w:id="0" w:name="_GoBack"/>
      <w:bookmarkEnd w:id="0"/>
      <w:r/>
      <w:r>
        <w:rPr>
          <w:rFonts w:ascii="Times New Roman" w:hAnsi="Times New Roman"/>
          <w:b/>
          <w:sz w:val="28"/>
        </w:rPr>
        <w:t>вестора по процедуре подключения к сетям теплоснабжения</w:t>
      </w:r>
      <w:r>
        <w:rPr>
          <w:rFonts w:ascii="Times New Roman" w:hAnsi="Times New Roman"/>
          <w:b/>
          <w:sz w:val="28"/>
        </w:rPr>
      </w:r>
    </w:p>
    <w:tbl>
      <w:tblPr>
        <w:tblStyle w:val="TableGrid"/>
        <w:name w:val="Таблица1"/>
        <w:tabOrder w:val="0"/>
        <w:jc w:val="left"/>
        <w:tblInd w:w="0" w:type="dxa"/>
        <w:tblW w:w="15134" w:type="dxa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418"/>
        <w:gridCol w:w="2835"/>
        <w:gridCol w:w="1984"/>
        <w:gridCol w:w="1560"/>
        <w:gridCol w:w="1275"/>
        <w:gridCol w:w="1418"/>
      </w:tblGrid>
      <w:tr>
        <w:trPr>
          <w:tblHeader/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559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Шаг алгоритма (Процедура)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</w:t>
            </w:r>
          </w:p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фактический</w:t>
            </w:r>
          </w:p>
        </w:tc>
        <w:tc>
          <w:tcPr>
            <w:tcW w:w="1275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</w:t>
            </w:r>
          </w:p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целевой</w:t>
            </w:r>
          </w:p>
        </w:tc>
        <w:tc>
          <w:tcPr>
            <w:tcW w:w="1418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Кол-во </w:t>
            </w:r>
          </w:p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документов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Входящие документы</w:t>
            </w:r>
          </w:p>
        </w:tc>
        <w:tc>
          <w:tcPr>
            <w:tcW w:w="198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Результирующие </w:t>
              <w:br w:type="textWrapping"/>
              <w:t>документы</w:t>
            </w:r>
          </w:p>
        </w:tc>
        <w:tc>
          <w:tcPr>
            <w:tcW w:w="1560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НПА</w:t>
            </w:r>
          </w:p>
        </w:tc>
        <w:tc>
          <w:tcPr>
            <w:tcW w:w="1275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Категории инвестиционных проектов</w:t>
            </w:r>
          </w:p>
        </w:tc>
        <w:tc>
          <w:tcPr>
            <w:tcW w:w="1418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Примечание</w:t>
            </w:r>
          </w:p>
        </w:tc>
      </w:tr>
    </w:tbl>
    <w:p>
      <w:pPr>
        <w:rPr>
          <w:sz w:val="2"/>
        </w:rPr>
      </w:pPr>
      <w:r>
        <w:rPr>
          <w:sz w:val="2"/>
        </w:rPr>
      </w:r>
    </w:p>
    <w:tbl>
      <w:tblPr>
        <w:tblStyle w:val="TableGrid"/>
        <w:name w:val="Таблица2"/>
        <w:tabOrder w:val="0"/>
        <w:jc w:val="left"/>
        <w:tblInd w:w="0" w:type="dxa"/>
        <w:tblW w:w="15213" w:type="dxa"/>
        <w:tblLook w:val="04A0" w:firstRow="1" w:lastRow="0" w:firstColumn="1" w:lastColumn="0" w:noHBand="0" w:noVBand="1"/>
      </w:tblPr>
      <w:tblGrid>
        <w:gridCol w:w="534"/>
        <w:gridCol w:w="1496"/>
        <w:gridCol w:w="1276"/>
        <w:gridCol w:w="1276"/>
        <w:gridCol w:w="1417"/>
        <w:gridCol w:w="2835"/>
        <w:gridCol w:w="1985"/>
        <w:gridCol w:w="1605"/>
        <w:gridCol w:w="1271"/>
        <w:gridCol w:w="1518"/>
      </w:tblGrid>
      <w:tr>
        <w:trPr>
          <w:tblHeader/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9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7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835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605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1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18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органом местного самоуправления, в целях подготовки градостроительного плана земельного участка, запроса о представлении информации о возможности подключения в течение 2 рабочих дней с даты получения заявления о выдаче градостроительного плана земельного участка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 даты, следующей за днем получения запроса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 даты, следующей за днем получения запроса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Запрос о представлении информации о возможности подключения</w:t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Направленная информация о возможности подключения: Сведения о наличии/отсутствии технической возможности подключения. 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Максимальная нагрузка в возможных точках подключения.</w:t>
            </w:r>
          </w:p>
        </w:tc>
        <w:tc>
          <w:tcPr>
            <w:tcW w:w="160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9, 10, 12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№ 2115 (далее – Правила № 2115)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запроса о предоставлении информации о возможности подключения в целях, не связанных с подготовкой градостроительного плана земельного участка (при необходимости)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со дня получения запроса от органов государственной власти/органов местного самоуправления, 10 рабочих дней со дня получения запроса от иных лиц отказ в предоставлении информации о возможности подключения в течени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 xml:space="preserve"> 3 рабочих дней со дня получения запроса, в случае не предоставления обратившимся лицом сведений и документов в полном объеме.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со дня получения запроса от органов государственной власти/органов местного самоуправления,  10 рабочих дней со дня получения запроса от иных лиц отказ в предоставлении информации о возможности подключения в течени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 xml:space="preserve"> 3 рабочих дней со дня получения запроса, в случае не предоставления обратившимся лицом сведений и документов в полном объеме.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35" w:type="dxa"/>
            <w:tmTcPr id="1658236020" protected="0"/>
          </w:tcPr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Запрос в муниципальное образование или в адрес исполнителя о представлении информации о возможности подключения, который д</w:t>
            </w:r>
            <w:r>
              <w:rPr>
                <w:sz w:val="22"/>
                <w:szCs w:val="22"/>
              </w:rPr>
              <w:t>олжен содержать: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наименование лица, направившего запрос, его местонахождение, почтовый адрес;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копии правоустанавливающих документов, подтверждающих право собственности или иное законное право заявителя на земельный участок, права</w:t>
            </w:r>
            <w:r>
              <w:rPr>
                <w:sz w:val="22"/>
                <w:szCs w:val="22"/>
              </w:rPr>
      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режимы теплопотребления для подключаемого объекта (непрерывный, одно-, двухсменный и др.);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информацию о разрешенном использовании земельного участка;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срок,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нагрузок. 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      </w:r>
          </w:p>
          <w:p>
            <w:pPr>
              <w:pStyle w:val="para3"/>
              <w:ind w:left="0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Копии правоустанавливающих документов, подтверждающих право собственности/иное законное право заявителя на земельный участок, права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ЕГРН с датой выдачи не ранее 30 дней), заверенные заявителем (при наличии).</w:t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Направленная информация о возможности подключения:</w:t>
            </w:r>
          </w:p>
          <w:p>
            <w:pPr>
              <w:pStyle w:val="para3"/>
              <w:numPr>
                <w:ilvl w:val="0"/>
                <w:numId w:val="5"/>
              </w:numPr>
              <w:ind w:left="29" w:firstLine="0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Сведения о наличии или об отсутствии технической возможности подключения.</w:t>
            </w:r>
          </w:p>
          <w:p>
            <w:pPr>
              <w:pStyle w:val="para3"/>
              <w:numPr>
                <w:ilvl w:val="0"/>
                <w:numId w:val="5"/>
              </w:numPr>
              <w:ind w:left="29" w:firstLine="0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Тепловая нагрузка.</w:t>
            </w:r>
          </w:p>
          <w:p>
            <w:pPr>
              <w:pStyle w:val="para3"/>
              <w:numPr>
                <w:ilvl w:val="0"/>
                <w:numId w:val="5"/>
              </w:numPr>
              <w:ind w:left="29" w:firstLine="0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подключения объекта к системе теплоснабжения, определяемый, в том числе в зависимости от сроков реализации инвестиционных программ.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Информация о прекращении обязательств организации, предоставившей информацию о возможности подключения, если заявитель в течение 4 месяцев с даты выдачи информации не подаст заявку на заключение договора о подключении.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Пункт 9-12 Правил </w:t>
              <w:br w:type="textWrapping"/>
              <w:t>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ind w:left="34"/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запроса о предоставлении технических условий подключения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 xml:space="preserve">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со следующего дня после получения запроса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 xml:space="preserve"> рабочих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дней со следующего дня после получения запроса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35" w:type="dxa"/>
            <w:tmTcPr id="1658236020" protected="0"/>
          </w:tcPr>
          <w:p>
            <w:pPr>
              <w:pStyle w:val="para3"/>
              <w:ind w:left="29"/>
              <w:spacing w:after="0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Запрос в муниципальное образование или в адрес исполнителя о предоставлении технических условий подключения.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para3"/>
              <w:ind w:left="29"/>
              <w:spacing w:after="0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ЕГРН с датой выдачи не ранее 30 дней), заверенные заявителем.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Технические условия подключения, содержащие следующие данные: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Местонахождение и назначение подключаемого объекта.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Требования в части схемы подключения.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 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 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 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теплоносителей.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 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теплоснабжения.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 Технические требования к способу и типам прокладки тепловых сетей и изоляции трубопроводов. 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 Требования и рекомендации к организации учета тепловой энергии и теплоносителей.</w:t>
            </w:r>
          </w:p>
          <w:p>
            <w:pPr>
              <w:pStyle w:val="para3"/>
              <w:ind w:left="29"/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8. 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строительства. </w:t>
            </w:r>
          </w:p>
          <w:p>
            <w:pPr>
              <w:pStyle w:val="para3"/>
              <w:ind w:left="29"/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технических условий подключения, который составляет 3 года (при комплексном развитии территории - 5 лет) с даты их выдачи. При не направлении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заявки на заключение договора о подключении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 течение 1 года (при комплексном развитии территории - в течение 3 лет), срок действия технических условий прекращается.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15, 16, 17, 20 Правил № 2115, ст. 52.1 Градостроительного кодекса РФ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highlight w:val="yellow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заявки на заключение договора о подключении</w:t>
            </w:r>
            <w:r>
              <w:rPr>
                <w:rFonts w:ascii="Times New Roman" w:hAnsi="Times New Roman"/>
                <w:highlight w:val="yellow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r>
              <w:rPr>
                <w:rFonts w:ascii="Times New Roman" w:hAnsi="Times New Roman"/>
                <w:bCs/>
              </w:rPr>
              <w:t xml:space="preserve"> единицу мощности подключаемой тепловой нагрузки при наличии технической возможности подключения - 20 рабочих дней со дня установления уполномоченным органом платы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r>
              <w:rPr>
                <w:rFonts w:ascii="Times New Roman" w:hAnsi="Times New Roman"/>
                <w:bCs/>
              </w:rPr>
              <w:t xml:space="preserve"> единицу мощности подключаемой тепловой нагрузки при наличии технической возможности подключения - 20 рабочих дней со дня установления уполномоченным органом платы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6-</w:t>
            </w:r>
            <w:r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835" w:type="dxa"/>
            <w:tmTcPr id="1658236020" protected="0"/>
          </w:tcPr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Заявка в муниципальное образование или в адрес исполнителя на заключение договора о подключении. (В случае подачи комплексной заявки на подключение, заявка подписывается всеми заявителями) </w:t>
            </w:r>
            <w:r>
              <w:rPr>
                <w:sz w:val="22"/>
                <w:szCs w:val="22"/>
              </w:rPr>
              <w:t>которая содержит следующие сведения: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(вид) и местонахождение подключаемого объекта;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параметры подключаемого объекта с включением (указанием):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 вида и параметров теплоносителей (давление и температура);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параметров возвращаемого теплоносителя (в случае подключения тепловой нагрузки в паре);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режимов теплопотребления для подключаемого объекта;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 узла учета тепловой энергии и теплоносителей и контроля их качества;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наличия и возможности использования собственных источников тепловой энергии (с указанием их мощностей и режимов работы);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правовые основания пользования заявителем подключаемым объектом (при подключении существующего подключаемого объекта);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номер и дата выдачи информации о возможности подключения или технических условий подключения (если они выдавались ранее);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планируемые сроки подключения;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виде разрешенного использования земельного участка;</w:t>
            </w:r>
          </w:p>
          <w:p>
            <w:pPr>
              <w:pStyle w:val="para4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ЕГРН (в случае если такие права зарегистрированы в указанном реестре, представляются соответствующие выписки из ЕГРН с датой выдачи не ранее 30 дней), заверенные заявителем. В целях строительства объектов федерального значения, объектов регионального значения, объектов местного значения при отсутствии правоустанавливающих документов прикладываются решение о предварительном согласовании предоставления земельного участка в целях строительства объектов капитального строительства; копия утвержденного проекта межевания территории и (или) градостроительного плана земельного участка, заверенная заявителем; схема расположения земельного участка (земельных участков) на кадастровом плане территории; документ о характерных точках границ земельного участка в системе координат, установленной для ведения ЕГРН, на котором планируется осуществить строительство (реконструкцию, модернизацию) подключаемого объекта.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 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 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ИЖС).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 Копии документов, подтверждающих полномочия лица, действующего от имени заявителя (при направлении заявки представителем заявителя), заверенные заявителем.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 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ОГРН и ИНН, заверенные заявителем, действующие банковские реквизиты, для физических лиц - копии паспорта/иного удостоверяющего личность документа и ИНН, заверенные заявителем.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 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 в адрес заявителя с предложением выбрать один из следующих вариантов создания технической возможности подключения к системам теплоснабжения:</w:t>
            </w:r>
          </w:p>
          <w:p>
            <w:pPr>
              <w: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</w:t>
            </w:r>
            <w:r>
              <w:rPr>
                <w:rFonts w:ascii="Times New Roman" w:hAnsi="Times New Roman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 заключение договора о подключении будет осуществлено после внесения необходимых изменений в схему теплоснабжения и (или) инвестиционную программу исполнителя и (или) смежной организации.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35, 36, 37, 41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 категории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18" w:type="dxa"/>
            <w:tmTcPr id="1658236020" protected="0"/>
          </w:tcPr>
          <w:p>
            <w:pPr>
              <w: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случае несоблюдения заявителем требований, предусмотренных пунктами 36 и 37 Правил подключения,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документы.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Направление заявителем письма </w:t>
            </w:r>
            <w:r>
              <w:rPr>
                <w:rFonts w:ascii="Times New Roman" w:hAnsi="Times New Roman"/>
              </w:rPr>
              <w:t>о выборе варианта создания технической возможности подключения к системам теплоснабжения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 рабочих дней со дня получения письма от исполнителя с предложением выбрать вариант создания технической возможности подключения к системам теплоснабжения</w:t>
            </w:r>
          </w:p>
          <w:p>
            <w:pPr>
              <w:spacing w:line="259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 рабочих дней со дня получения письма от исполнителя с предложением выбрать вариант создания технической возможности подключения к системам теплоснабжения -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Письмо теплоснабжающей организации в адрес заявителя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Ответное письмо заявителя в адрес теплоснабжающей организации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24 Правил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Получение от исполнителя подписанного проекта договора о подключении в 2 экземплярах (за исключением подписания договора в электронной форме)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рабочих дней со дня получения заявки (а также с момента предоставления полного перечня документов).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необходимости получения согласия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- 20 рабочих</w:t>
            </w:r>
            <w:r>
              <w:rPr>
                <w:rFonts w:ascii="Times New Roman" w:hAnsi="Times New Roman"/>
                <w:bCs/>
              </w:rPr>
              <w:t xml:space="preserve"> дней со дня установления уполномоченным органом платы.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рабочих дней со дня получения заявки (а также с момента предоставления полного перечня документов).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необходимости получения согласия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- 20 рабочих</w:t>
            </w:r>
            <w:r>
              <w:rPr>
                <w:rFonts w:ascii="Times New Roman" w:hAnsi="Times New Roman"/>
                <w:bCs/>
              </w:rPr>
              <w:t xml:space="preserve"> дней со дня установления уполномоченным органом платы.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Зарегистрированная теплоснабжающей/теплосетевой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организацией заявка на заключение договора о подключении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заявителю подписанный проект договора о подключении в 2 экземплярах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28-32, 41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в адрес теплоснабжающей/теплосетевой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организации подписанного договора в 1 экземпляре.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1-2</w:t>
            </w:r>
          </w:p>
        </w:tc>
        <w:tc>
          <w:tcPr>
            <w:tcW w:w="283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Подписанный договор.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Документы, подтверждающие полномочия лица, подписавшего договор о подключении (в случае подписания представителем).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Заключенный договор о подключении.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41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8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в адрес теплоснабжающей компании уведомления о несогласии с условиями направленного договора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рабочих дней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10 рабочих дней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3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Подписанный договор с протоколом разногласий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Документы, подтверждающие полномочия лица, подписавшего договор о подключении (в случае подписания представителем).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Заключенный договор о подключении с протоколом разногласий/урегулирования разногласий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41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9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Установление платы за подключение регулирующим органом (в ценовых зонах, в случае если стороны не договорились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 размере платы за подключение).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29"/>
              <w:spacing w:line="259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 дней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30 дней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3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Заявка на установление платы за подключение: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недвижимого имущества (в случае если такие права зарегистрированы в указанном реестре, представляются сведения об этих зданиях, </w:t>
            </w:r>
            <w:r>
              <w:rPr>
                <w:rFonts w:ascii="Times New Roman" w:hAnsi="Times New Roman"/>
              </w:rPr>
              <w:t>строениях</w:t>
            </w:r>
            <w:r>
              <w:rPr>
                <w:rFonts w:ascii="Times New Roman" w:hAnsi="Times New Roman"/>
              </w:rPr>
              <w:t>, сооружениях, земельных участках);</w:t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расчет расходов, включаемых в состав платы за подключение (сметы для определения расходов на строительство (реконструкцию), с указанием применяемых индексов, норм и нормативов расчета;</w:t>
            </w:r>
          </w:p>
          <w:p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расчет платы за подключение;</w:t>
            </w:r>
          </w:p>
          <w:p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копия документа о назначении лица, имеющего право действовать от имени организации без доверенности.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регулирующего органа об утверждении платы за подключение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Заключенный договор о подключении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2, 85, 86 Правил № 2115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Правительства Российской Федерации от 22.10.2012 № 1075 «О ценообразовании в сфере теплоснабжения»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496" w:type="dxa"/>
            <w:tmTcPr id="1658236020" protected="0"/>
          </w:tcPr>
          <w:p>
            <w:pPr>
              <w:pStyle w:val="para3"/>
              <w:ind w:left="0"/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заявителем первого авансового платежа в размере 15% платы за подключение.</w:t>
            </w:r>
          </w:p>
          <w:p>
            <w:pPr>
              <w:pStyle w:val="para3"/>
              <w:ind w:left="0"/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(в ценовых зонах устанавливается по соглашению сторон).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 (в ценовых зонах устанавливается по соглашению сторон).-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Платежное поручение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52, 77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осуществлении поэтапной комплексной застройки внесение платежей осуществляется в соответствии с графиком оплат.</w:t>
            </w:r>
          </w:p>
          <w:p>
            <w:pPr>
              <w: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внесения платы за подключение комплексной застройки устанавливается исходя из этапов/очередей архитектурно-строительного проектирования, строительства, реконструкции тепловых сетей.</w:t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заявителем уведомления о намерении выполнить мероприятия по подключению в границах и за границами земельного участка своими силами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</w:t>
            </w:r>
            <w:r>
              <w:rPr>
                <w:rFonts w:ascii="Times New Roman" w:hAnsi="Times New Roman"/>
                <w:b/>
                <w:bCs/>
              </w:rPr>
              <w:t xml:space="preserve"> -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Письмо от заявителя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Ответное письмо теплоснабжающей организации об отказе или согласовании выполнения мероприятий. 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49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Исполнение мероприятий в рамках заключенного договора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организации), но не более 3 лет.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организации), но не более 3 лет.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Заключенный договор о подключении.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Уведомление о готовности для проведения исполнителем проверки выполнения технических условий подключения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55, 56, 59, 63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13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заявителем второго авансового платежа в размере 50% платы за подключение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(в ценовых зонах устанавливается по соглашению сторон)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90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заключения договора о подключении (в ценовых зонах устанавливается по соглашению сторон)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Платежное поручение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52, 77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14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заявителем утвержденной в установленном порядке проектной документации в части сведений об инженерном оборудовании и сетях инженерно-технического обеспечения</w:t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Не позднее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15 месяцев до даты подключения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Не позднее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15 месяцев до даты подключения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pStyle w:val="para3"/>
              <w:ind w:left="5"/>
              <w:spacing w:after="0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 Утвержденная в установленном порядке проектная документация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para3"/>
              <w:ind w:left="5"/>
              <w:spacing w:after="0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Штамп о рассмотрении проектной документации/технические замечания к проектной документации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59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заявителем графика производства работ по подключению  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соответствии с условиями договора о подключении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соответствии с условиями договора о подключении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График производства работ по подключению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Согласованный теплоснабжающей организацией график производства работ по подключению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59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16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Получение акта о готовности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результатам проверки исполнителем выполнения заявителем технических условий подключения и опломбирования исполнителем приборов (узлов) учета тепловой энергии и теплоносителя, кранов и задвижек на их обводах в рамках исполнения мероприятий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По результатам проверки исполнителем выполнения заявителем технических условий подключения и опломбирования исполнителем приборов (узлов) учета тепловой энергии и теплоносителя, кранов и задвижек на их обводах в рамках исполнения мероприятий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Уведомление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Подписанный акт о готовности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56, 57 Правил</w:t>
              <w:br w:type="textWrapping"/>
              <w:t>№ 2115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Получение заявителем временного разрешения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 составления акта о готовности и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Временное разрешение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Пункты 23, 59 Правил </w:t>
              <w:br w:type="textWrapping"/>
              <w:t>№ 2115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Подача тепловой энергии и теплоносителя на объект заявителя на время проведения пусконаладочных работ и комплексного опробования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После подписания акта о готовности с учетом получения временного разрешения органа федерального государственного энергетического надзора, но не позднее установленной договором о подключении даты подключения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После подписания акта о готовности с учетом получения временного разрешения органа федерального государственного энергетического надзора, но не позднее установленной договором о подключении даты подключения-</w:t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временного разрешения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 об успешно проведенных пусконаладочных работах и испытаний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23, 59, 63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заявителем третьего авансового платежа в размере 20% платы за подключение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подачи тепловой энергии и теплоносителя на объект заявителя на время проведения пусконаладочных работ и комплексного опробования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подачи тепловой энергии и теплоносителя на объект заявителя на время проведения пусконаладочных работ и комплексного опробования (в ценовых зонах устанавливается по соглашению сторон)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Платежное поручение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Пункты 52, 77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ind w:right="-108"/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19.1</w:t>
            </w:r>
          </w:p>
        </w:tc>
        <w:tc>
          <w:tcPr>
            <w:tcW w:w="149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Получение  заявителем разрешение органа федерального государственного энергетического надзора на допуск в эксплуатацию объекта теплоснабжения 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 рабочих дней с момента подачи заявления о получении разрешения на допуск в эксплуатации объекта теплоснабжения 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рабочих дней с момента подачи заявления о получении разрешения на допуск в эксплуатации объекта теплоснабжения</w:t>
            </w:r>
          </w:p>
        </w:tc>
        <w:tc>
          <w:tcPr>
            <w:tcW w:w="1417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Разрешение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 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Подтверждение получения разрешение органа федерального государственного энергетического надзора на допуск в эксплуатацию объекта теплоснабжения и (или) теплопотребляющей</w:t>
            </w:r>
            <w:r>
              <w:rPr>
                <w:rFonts w:ascii="Times New Roman" w:hAnsi="Times New Roman"/>
                <w:bCs/>
              </w:rPr>
              <w:t xml:space="preserve"> установки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Пункт 62 Правил 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Все категории </w:t>
            </w:r>
          </w:p>
        </w:tc>
        <w:tc>
          <w:tcPr>
            <w:tcW w:w="1518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Получение акта о подключении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пределах срока выполнения мероприятия по договору, но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не позднее 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>
              <w:rPr>
                <w:rFonts w:ascii="Times New Roman" w:hAnsi="Times New Roman"/>
                <w:bCs/>
              </w:rPr>
              <w:br w:type="textWrapping"/>
            </w:r>
            <w:r>
              <w:rPr>
                <w:rFonts w:ascii="Times New Roman" w:hAnsi="Times New Roman"/>
                <w:bCs/>
              </w:rPr>
              <w:t>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организации), но не более 3 лет.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пределах срока выполнения мероприятия по договору, но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не позднее 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>
              <w:rPr>
                <w:rFonts w:ascii="Times New Roman" w:hAnsi="Times New Roman"/>
                <w:bCs/>
              </w:rPr>
              <w:br w:type="textWrapping"/>
            </w:r>
            <w:r>
              <w:rPr>
                <w:rFonts w:ascii="Times New Roman" w:hAnsi="Times New Roman"/>
                <w:bCs/>
              </w:rPr>
              <w:t>теплосетевой</w:t>
            </w:r>
            <w:r>
              <w:rPr>
                <w:rFonts w:ascii="Times New Roman" w:hAnsi="Times New Roman"/>
                <w:bCs/>
              </w:rPr>
              <w:t xml:space="preserve"> организации), но не более 3 лет.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Заключенный договор теплоснабжения на время проведения пуско-наладочных работ и комплексного опробования, акт о готовности внутриплощадочных и внутридомовых сетей и оборудования подключаемого объекта к подаче тепловой энергии и теплоносителя, платежные поручения (3 шт)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Подписанный акт о подключении</w:t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Пункты 23, 63 Правил </w:t>
              <w:br w:type="textWrapping"/>
              <w:t>№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49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заявителем итогового платежа по договору о подключении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подписания акта о подключении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1276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 дней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даты подписания акта о подключении (в ценовых зонах устанавливается по соглашению сторон)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 w:line="259" w:lineRule="auto"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3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Платежное поручение</w:t>
            </w:r>
          </w:p>
        </w:tc>
        <w:tc>
          <w:tcPr>
            <w:tcW w:w="198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Пункты 52, 77 Правил </w:t>
              <w:br w:type="textWrapping"/>
              <w:t>№  2115</w:t>
            </w:r>
          </w:p>
        </w:tc>
        <w:tc>
          <w:tcPr>
            <w:tcW w:w="1271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18" w:type="dxa"/>
            <w:tmTcPr id="1658236020" protected="0"/>
          </w:tcPr>
          <w:p>
            <w:pPr>
              <w:spacing w:line="259" w:lineRule="auto"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49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Заключение договора теплоснабжения</w:t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hd w:val="clear" w:fill="ffffff"/>
              </w:rPr>
              <w:t>потребитель в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течение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30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дней</w:t>
            </w:r>
            <w:r>
              <w:rPr>
                <w:rFonts w:ascii="Times New Roman" w:hAnsi="Times New Roman"/>
                <w:shd w:val="clear" w:fill="ffffff"/>
              </w:rPr>
              <w:t> со дня поступления ему предложения о заключении договора теплоснабжения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76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hd w:val="clear" w:fill="ffffff"/>
              </w:rPr>
              <w:t>потребитель в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течение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30</w:t>
            </w:r>
            <w:r>
              <w:rPr>
                <w:rFonts w:ascii="Times New Roman" w:hAnsi="Times New Roman"/>
                <w:shd w:val="clear" w:fill="ffffff"/>
              </w:rPr>
              <w:t> </w:t>
            </w:r>
            <w:r>
              <w:rPr>
                <w:rFonts w:ascii="Times New Roman" w:hAnsi="Times New Roman"/>
                <w:bCs/>
                <w:shd w:val="clear" w:fill="ffffff"/>
              </w:rPr>
              <w:t>дней</w:t>
            </w:r>
            <w:r>
              <w:rPr>
                <w:rFonts w:ascii="Times New Roman" w:hAnsi="Times New Roman"/>
                <w:shd w:val="clear" w:fill="ffffff"/>
              </w:rPr>
              <w:t> со дня поступления ему предложения о заключении договора теплоснабжения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tmTcPr id="1658236020" protected="0"/>
          </w:tcPr>
          <w:p>
            <w:pPr>
              <w:spacing/>
              <w:jc w:val="center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mTcPr id="1658236020" protected="0"/>
          </w:tcPr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Заявитель направляет единой теплоснабжающей организации заявку на </w:t>
            </w:r>
            <w:r>
              <w:rPr>
                <w:rStyle w:val="char4"/>
                <w:sz w:val="22"/>
                <w:szCs w:val="22"/>
              </w:rPr>
              <w:t>заключение</w:t>
            </w:r>
            <w:r>
              <w:rPr>
                <w:sz w:val="22"/>
                <w:szCs w:val="22"/>
              </w:rPr>
              <w:t> договора теплоснабжения, содержащую следующие сведения:</w:t>
            </w:r>
            <w:r/>
            <w:bookmarkStart w:id="1" w:name="l194"/>
            <w:bookmarkEnd w:id="1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полное наименование организации (фамилия, имя, отчество) заявителя;</w:t>
            </w:r>
            <w:r/>
            <w:bookmarkStart w:id="2" w:name="l195"/>
            <w:bookmarkEnd w:id="2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организации (место жительства физического лица);</w:t>
            </w:r>
            <w:r/>
            <w:bookmarkStart w:id="3" w:name="l196"/>
            <w:bookmarkEnd w:id="3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место нахождения </w:t>
            </w:r>
            <w:r>
              <w:rPr>
                <w:sz w:val="22"/>
                <w:szCs w:val="22"/>
              </w:rPr>
              <w:t>теплопотребляющих</w:t>
            </w:r>
            <w:r>
              <w:rPr>
                <w:sz w:val="22"/>
                <w:szCs w:val="22"/>
              </w:rPr>
              <w:t xml:space="preserve"> установок и место их подключения к системе теплоснабжения (тепловой ввод);</w:t>
            </w:r>
            <w:r/>
            <w:bookmarkStart w:id="4" w:name="l197"/>
            <w:bookmarkEnd w:id="4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тепловая нагрузка </w:t>
            </w:r>
            <w:r>
              <w:rPr>
                <w:sz w:val="22"/>
                <w:szCs w:val="22"/>
              </w:rPr>
              <w:t>теплопотребляющих</w:t>
            </w:r>
            <w:r>
              <w:rPr>
                <w:sz w:val="22"/>
                <w:szCs w:val="22"/>
              </w:rPr>
              <w:t xml:space="preserve"> установок по каждой </w:t>
            </w:r>
            <w:r>
              <w:rPr>
                <w:sz w:val="22"/>
                <w:szCs w:val="22"/>
              </w:rPr>
              <w:t>теплопотребляющей</w:t>
            </w:r>
            <w:r>
              <w:rPr>
                <w:sz w:val="22"/>
                <w:szCs w:val="22"/>
              </w:rPr>
      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      </w:r>
            <w:r/>
            <w:bookmarkStart w:id="5" w:name="l198"/>
            <w:bookmarkEnd w:id="5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договорный объем потребления тепловой энергии и (или) теплоносителя в течение срока действия договора или в течение 1-го года действия договора, если договор заключается на срок более 1 года, а в ценовых зонах теплоснабжения предложения по порядку определения объема потребления тепловой энергии и (или)  теплоносителя;</w:t>
            </w:r>
            <w:r/>
            <w:bookmarkStart w:id="6" w:name="l199"/>
            <w:bookmarkEnd w:id="6"/>
            <w:r/>
            <w:r>
              <w:rPr>
                <w:sz w:val="22"/>
                <w:szCs w:val="22"/>
              </w:rPr>
              <w:t> </w:t>
            </w:r>
            <w:r>
              <w:rPr>
                <w:rStyle w:val="char5"/>
                <w:sz w:val="22"/>
                <w:szCs w:val="22"/>
              </w:rPr>
              <w:t>(в ред. Постановления Правительства РФ </w:t>
            </w:r>
            <w:r>
              <w:rPr>
                <w:rStyle w:val="char5"/>
                <w:sz w:val="22"/>
                <w:szCs w:val="22"/>
              </w:rPr>
              <w:t>от 22.05.2019 № 637</w:t>
            </w:r>
            <w:r>
              <w:rPr>
                <w:rStyle w:val="char5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срок действия договора;</w:t>
            </w:r>
            <w:r/>
            <w:bookmarkStart w:id="7" w:name="l200"/>
            <w:bookmarkEnd w:id="7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сведения о предполагаемом режиме потребления тепловой энергии;</w:t>
            </w:r>
            <w:r/>
            <w:bookmarkStart w:id="8" w:name="l201"/>
            <w:bookmarkEnd w:id="8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сведения об уполномоченных должностных лицах заявителя, ответственных за выполнение условий договора (за исключением граждан-потребителей);</w:t>
            </w:r>
            <w:r/>
            <w:bookmarkStart w:id="9" w:name="l202"/>
            <w:bookmarkEnd w:id="9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проектной документацией;</w:t>
            </w:r>
            <w:r/>
            <w:bookmarkStart w:id="10" w:name="l203"/>
            <w:bookmarkEnd w:id="10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реквизиты;</w:t>
            </w:r>
            <w:r/>
            <w:bookmarkStart w:id="11" w:name="l204"/>
            <w:bookmarkEnd w:id="11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сведения об имеющихся приборах учета тепловой энергии, теплоносителя и их технические характеристики.</w:t>
            </w:r>
            <w:r/>
            <w:bookmarkStart w:id="12" w:name="l205"/>
            <w:bookmarkEnd w:id="12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rStyle w:val="char6"/>
                <w:sz w:val="22"/>
                <w:szCs w:val="22"/>
              </w:rPr>
              <w:t>2. </w:t>
            </w:r>
            <w:r>
              <w:rPr>
                <w:sz w:val="22"/>
                <w:szCs w:val="22"/>
              </w:rPr>
              <w:t>К заявке </w:t>
            </w:r>
            <w:r>
              <w:rPr>
                <w:sz w:val="22"/>
                <w:szCs w:val="22"/>
              </w:rPr>
              <w:t>на </w:t>
            </w:r>
            <w:r>
              <w:rPr>
                <w:rStyle w:val="char4"/>
                <w:sz w:val="22"/>
                <w:szCs w:val="22"/>
              </w:rPr>
              <w:t>заключение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теплоснабжения прилагаются следующие документы:</w:t>
            </w:r>
            <w:r/>
            <w:bookmarkStart w:id="13" w:name="l206"/>
            <w:bookmarkEnd w:id="13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удостоверенные в установленном порядке копии правоустанавливающих документов (в том числе свидетельство о государственной регистрации прав на недвижимое имущество и сделок с 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теплопотребляющие установки (при наличии);</w:t>
            </w:r>
            <w:r/>
            <w:bookmarkStart w:id="14" w:name="l207"/>
            <w:bookmarkEnd w:id="14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договор управления многоквартирным домом (для управляющих организаций);</w:t>
            </w:r>
            <w:r/>
            <w:bookmarkStart w:id="15" w:name="l208"/>
            <w:bookmarkEnd w:id="15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устав товарищества собственников жилья, жилищного кооператива или иного специализированного потребительского кооператива;</w:t>
            </w:r>
            <w:r/>
            <w:bookmarkStart w:id="16" w:name="l209"/>
            <w:bookmarkEnd w:id="16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документы, подтверждающие подключение теплопотребляющих установок заявителя к системе теплоснабжения;</w:t>
            </w:r>
            <w:r/>
            <w:bookmarkStart w:id="17" w:name="l210"/>
            <w:bookmarkEnd w:id="17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      </w:r>
            <w:r/>
            <w:bookmarkStart w:id="18" w:name="l211"/>
            <w:bookmarkEnd w:id="18"/>
            <w:r/>
            <w:bookmarkStart w:id="19" w:name="l1106"/>
            <w:bookmarkEnd w:id="19"/>
            <w:r/>
            <w:r>
              <w:rPr>
                <w:sz w:val="22"/>
                <w:szCs w:val="22"/>
              </w:rPr>
              <w:t> </w:t>
            </w:r>
            <w:r>
              <w:rPr>
                <w:rStyle w:val="char5"/>
                <w:sz w:val="22"/>
                <w:szCs w:val="22"/>
              </w:rPr>
              <w:t>(в ред. Постановления Правительства РФ</w:t>
            </w:r>
            <w:r>
              <w:rPr>
                <w:rStyle w:val="char5"/>
                <w:sz w:val="22"/>
                <w:szCs w:val="22"/>
              </w:rPr>
              <w:t xml:space="preserve"> от 18.01.2017 № 32</w:t>
            </w:r>
            <w:r>
              <w:rPr>
                <w:rStyle w:val="char5"/>
                <w:sz w:val="22"/>
                <w:szCs w:val="22"/>
              </w:rPr>
              <w:t>)</w:t>
            </w:r>
            <w:r>
              <w:rPr>
                <w:rStyle w:val="char5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акты готовности таких теплопотребляющих установок к отопительному периоду, составленные в установленном законодательством Российской Федерации порядке.</w:t>
            </w:r>
            <w:r/>
            <w:bookmarkStart w:id="20" w:name="l212"/>
            <w:bookmarkEnd w:id="20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rStyle w:val="char6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В качестве документов, подтверждающих подключение </w:t>
            </w:r>
            <w:r>
              <w:rPr>
                <w:sz w:val="22"/>
                <w:szCs w:val="22"/>
              </w:rPr>
              <w:t>теплопотребляющих</w:t>
            </w:r>
            <w:r>
              <w:rPr>
                <w:sz w:val="22"/>
                <w:szCs w:val="22"/>
              </w:rPr>
              <w:t xml:space="preserve"> установок заявителя в установленном порядке к системе теплоснабжения,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организаций.</w:t>
            </w:r>
            <w:r/>
            <w:bookmarkStart w:id="21" w:name="l213"/>
            <w:bookmarkEnd w:id="21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rStyle w:val="char6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договора.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организации.</w:t>
            </w:r>
            <w:r/>
            <w:bookmarkStart w:id="22" w:name="l218"/>
            <w:bookmarkEnd w:id="22"/>
            <w:r/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теплоснабжения.</w:t>
            </w:r>
            <w:r/>
            <w:bookmarkStart w:id="23" w:name="l224"/>
            <w:bookmarkEnd w:id="23"/>
            <w:r/>
            <w:r>
              <w:rPr>
                <w:sz w:val="22"/>
                <w:szCs w:val="22"/>
              </w:rPr>
              <w:t> </w:t>
            </w:r>
            <w:r>
              <w:rPr>
                <w:rStyle w:val="char5"/>
                <w:sz w:val="22"/>
                <w:szCs w:val="22"/>
              </w:rPr>
              <w:t>(</w:t>
            </w:r>
            <w:r>
              <w:rPr>
                <w:rStyle w:val="char5"/>
                <w:sz w:val="22"/>
                <w:szCs w:val="22"/>
              </w:rPr>
              <w:t>в</w:t>
            </w:r>
            <w:r>
              <w:rPr>
                <w:rStyle w:val="char5"/>
                <w:sz w:val="22"/>
                <w:szCs w:val="22"/>
              </w:rPr>
              <w:t xml:space="preserve"> ред. Постановления Правительства РФ</w:t>
            </w:r>
            <w:r>
              <w:rPr>
                <w:rStyle w:val="char5"/>
                <w:sz w:val="22"/>
                <w:szCs w:val="22"/>
              </w:rPr>
              <w:t xml:space="preserve"> от 22.05.2019 № 637</w:t>
            </w:r>
            <w:r>
              <w:rPr>
                <w:rStyle w:val="char5"/>
                <w:sz w:val="22"/>
                <w:szCs w:val="22"/>
              </w:rPr>
              <w:t>)</w:t>
            </w:r>
            <w:r>
              <w:rPr>
                <w:rStyle w:val="char5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</w:r>
          </w:p>
          <w:p>
            <w:pPr>
              <w:pStyle w:val="para5"/>
              <w:spacing w:before="0" w:after="0" w:beforeAutospacing="0" w:afterAutospacing="0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теплоснабжения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05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п. 62 Правил № 2115</w:t>
            </w:r>
          </w:p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Правительства Российской Федерации от 08.08.2012 № 808 «Об организации теплоснабжения в Российской Федерации»</w:t>
            </w:r>
          </w:p>
        </w:tc>
        <w:tc>
          <w:tcPr>
            <w:tcW w:w="1271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 категории</w:t>
            </w:r>
          </w:p>
        </w:tc>
        <w:tc>
          <w:tcPr>
            <w:tcW w:w="1518" w:type="dxa"/>
            <w:tmTcPr id="1658236020" protected="0"/>
          </w:tcPr>
          <w:p>
            <w:pPr>
              <w:spacing/>
              <w:jc w:val="both"/>
              <w:suppressAutoHyphens/>
              <w:hyphenationLine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8"/>
      <w:type w:val="nextPage"/>
      <w:pgSz w:h="11906" w:w="16838" w:orient="landscape"/>
      <w:pgMar w:left="1134" w:top="709" w:right="1134" w:bottom="850" w:header="0" w:footer="708"/>
      <w:paperSrc w:first="7" w:other="7" a="0" b="0"/>
      <w:pgNumType w:fmt="decimal"/>
      <w:tmGutter w:val="3"/>
      <w:mirrorMargins w:val="0"/>
      <w:tmSection w:h="-2"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2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2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Нумерованный список 6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29" w:hanging="0"/>
      </w:pPr>
    </w:lvl>
    <w:lvl w:ilvl="1">
      <w:start w:val="1"/>
      <w:numFmt w:val="lowerLetter"/>
      <w:suff w:val="tab"/>
      <w:lvlText w:val="%2."/>
      <w:lvlJc w:val="left"/>
      <w:pPr>
        <w:ind w:left="749" w:hanging="0"/>
      </w:pPr>
    </w:lvl>
    <w:lvl w:ilvl="2">
      <w:start w:val="1"/>
      <w:numFmt w:val="lowerRoman"/>
      <w:suff w:val="tab"/>
      <w:lvlText w:val="%3."/>
      <w:lvlJc w:val="left"/>
      <w:pPr>
        <w:ind w:left="1649" w:hanging="0"/>
      </w:pPr>
    </w:lvl>
    <w:lvl w:ilvl="3">
      <w:start w:val="1"/>
      <w:numFmt w:val="decimal"/>
      <w:suff w:val="tab"/>
      <w:lvlText w:val="%4."/>
      <w:lvlJc w:val="left"/>
      <w:pPr>
        <w:ind w:left="2189" w:hanging="0"/>
      </w:pPr>
    </w:lvl>
    <w:lvl w:ilvl="4">
      <w:start w:val="1"/>
      <w:numFmt w:val="lowerLetter"/>
      <w:suff w:val="tab"/>
      <w:lvlText w:val="%5."/>
      <w:lvlJc w:val="left"/>
      <w:pPr>
        <w:ind w:left="2909" w:hanging="0"/>
      </w:pPr>
    </w:lvl>
    <w:lvl w:ilvl="5">
      <w:start w:val="1"/>
      <w:numFmt w:val="lowerRoman"/>
      <w:suff w:val="tab"/>
      <w:lvlText w:val="%6."/>
      <w:lvlJc w:val="left"/>
      <w:pPr>
        <w:ind w:left="3809" w:hanging="0"/>
      </w:pPr>
    </w:lvl>
    <w:lvl w:ilvl="6">
      <w:start w:val="1"/>
      <w:numFmt w:val="decimal"/>
      <w:suff w:val="tab"/>
      <w:lvlText w:val="%7."/>
      <w:lvlJc w:val="left"/>
      <w:pPr>
        <w:ind w:left="4349" w:hanging="0"/>
      </w:pPr>
    </w:lvl>
    <w:lvl w:ilvl="7">
      <w:start w:val="1"/>
      <w:numFmt w:val="lowerLetter"/>
      <w:suff w:val="tab"/>
      <w:lvlText w:val="%8."/>
      <w:lvlJc w:val="left"/>
      <w:pPr>
        <w:ind w:left="5069" w:hanging="0"/>
      </w:pPr>
    </w:lvl>
    <w:lvl w:ilvl="8">
      <w:start w:val="1"/>
      <w:numFmt w:val="lowerRoman"/>
      <w:suff w:val="tab"/>
      <w:lvlText w:val="%9."/>
      <w:lvlJc w:val="left"/>
      <w:pPr>
        <w:ind w:left="5969" w:hanging="0"/>
      </w:p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389" w:hanging="0"/>
      </w:pPr>
    </w:lvl>
    <w:lvl w:ilvl="1">
      <w:start w:val="1"/>
      <w:numFmt w:val="lowerLetter"/>
      <w:suff w:val="tab"/>
      <w:lvlText w:val="%2."/>
      <w:lvlJc w:val="left"/>
      <w:pPr>
        <w:ind w:left="1109" w:hanging="0"/>
      </w:pPr>
    </w:lvl>
    <w:lvl w:ilvl="2">
      <w:start w:val="1"/>
      <w:numFmt w:val="lowerRoman"/>
      <w:suff w:val="tab"/>
      <w:lvlText w:val="%3."/>
      <w:lvlJc w:val="left"/>
      <w:pPr>
        <w:ind w:left="2009" w:hanging="0"/>
      </w:pPr>
    </w:lvl>
    <w:lvl w:ilvl="3">
      <w:start w:val="1"/>
      <w:numFmt w:val="decimal"/>
      <w:suff w:val="tab"/>
      <w:lvlText w:val="%4."/>
      <w:lvlJc w:val="left"/>
      <w:pPr>
        <w:ind w:left="2549" w:hanging="0"/>
      </w:pPr>
    </w:lvl>
    <w:lvl w:ilvl="4">
      <w:start w:val="1"/>
      <w:numFmt w:val="lowerLetter"/>
      <w:suff w:val="tab"/>
      <w:lvlText w:val="%5."/>
      <w:lvlJc w:val="left"/>
      <w:pPr>
        <w:ind w:left="3269" w:hanging="0"/>
      </w:pPr>
    </w:lvl>
    <w:lvl w:ilvl="5">
      <w:start w:val="1"/>
      <w:numFmt w:val="lowerRoman"/>
      <w:suff w:val="tab"/>
      <w:lvlText w:val="%6."/>
      <w:lvlJc w:val="left"/>
      <w:pPr>
        <w:ind w:left="4169" w:hanging="0"/>
      </w:pPr>
    </w:lvl>
    <w:lvl w:ilvl="6">
      <w:start w:val="1"/>
      <w:numFmt w:val="decimal"/>
      <w:suff w:val="tab"/>
      <w:lvlText w:val="%7."/>
      <w:lvlJc w:val="left"/>
      <w:pPr>
        <w:ind w:left="4709" w:hanging="0"/>
      </w:pPr>
    </w:lvl>
    <w:lvl w:ilvl="7">
      <w:start w:val="1"/>
      <w:numFmt w:val="lowerLetter"/>
      <w:suff w:val="tab"/>
      <w:lvlText w:val="%8."/>
      <w:lvlJc w:val="left"/>
      <w:pPr>
        <w:ind w:left="5429" w:hanging="0"/>
      </w:pPr>
    </w:lvl>
    <w:lvl w:ilvl="8">
      <w:start w:val="1"/>
      <w:numFmt w:val="lowerRoman"/>
      <w:suff w:val="tab"/>
      <w:lvlText w:val="%9."/>
      <w:lvlJc w:val="left"/>
      <w:pPr>
        <w:ind w:left="6329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76"/>
    </w:tmLastPosCaret>
    <w:tmLastPosAnchor>
      <w:tmLastPosPgfIdx w:val="0"/>
      <w:tmLastPosIdx w:val="0"/>
    </w:tmLastPosAnchor>
    <w:tmLastPosTblRect w:left="0" w:top="0" w:right="0" w:bottom="0"/>
  </w:tmLastPos>
  <w:tmAppRevision w:date="165823602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List Paragraph"/>
    <w:qFormat/>
    <w:basedOn w:val="para0"/>
    <w:pPr>
      <w:ind w:left="720"/>
      <w:spacing w:after="160" w:line="259" w:lineRule="auto"/>
      <w:contextualSpacing/>
    </w:pPr>
    <w:rPr>
      <w:rFonts w:eastAsia="Times New Roman"/>
    </w:rPr>
  </w:style>
  <w:style w:type="paragraph" w:styleId="para4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5" w:customStyle="1">
    <w:name w:val="dt-p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>
    <w:name w:val="Hyperlink"/>
    <w:basedOn w:val="char0"/>
    <w:rPr>
      <w:color w:val="0000ff"/>
      <w:u w:color="auto" w:val="single"/>
    </w:rPr>
  </w:style>
  <w:style w:type="character" w:styleId="char4" w:customStyle="1">
    <w:name w:val="js-doc-mark"/>
    <w:basedOn w:val="char0"/>
  </w:style>
  <w:style w:type="character" w:styleId="char5" w:customStyle="1">
    <w:name w:val="dt-r"/>
    <w:basedOn w:val="char0"/>
  </w:style>
  <w:style w:type="character" w:styleId="char6" w:customStyle="1">
    <w:name w:val="dt-m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List Paragraph"/>
    <w:qFormat/>
    <w:basedOn w:val="para0"/>
    <w:pPr>
      <w:ind w:left="720"/>
      <w:spacing w:after="160" w:line="259" w:lineRule="auto"/>
      <w:contextualSpacing/>
    </w:pPr>
    <w:rPr>
      <w:rFonts w:eastAsia="Times New Roman"/>
    </w:rPr>
  </w:style>
  <w:style w:type="paragraph" w:styleId="para4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5" w:customStyle="1">
    <w:name w:val="dt-p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>
    <w:name w:val="Hyperlink"/>
    <w:basedOn w:val="char0"/>
    <w:rPr>
      <w:color w:val="0000ff"/>
      <w:u w:color="auto" w:val="single"/>
    </w:rPr>
  </w:style>
  <w:style w:type="character" w:styleId="char4" w:customStyle="1">
    <w:name w:val="js-doc-mark"/>
    <w:basedOn w:val="char0"/>
  </w:style>
  <w:style w:type="character" w:styleId="char5" w:customStyle="1">
    <w:name w:val="dt-r"/>
    <w:basedOn w:val="char0"/>
  </w:style>
  <w:style w:type="character" w:styleId="char6" w:customStyle="1">
    <w:name w:val="dt-m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gluhenky_ss</dc:creator>
  <cp:keywords/>
  <dc:description/>
  <cp:lastModifiedBy>МЭ, отд.инвест.развития</cp:lastModifiedBy>
  <cp:revision>26</cp:revision>
  <dcterms:created xsi:type="dcterms:W3CDTF">2022-07-12T15:19:00Z</dcterms:created>
  <dcterms:modified xsi:type="dcterms:W3CDTF">2022-07-19T13:07:00Z</dcterms:modified>
</cp:coreProperties>
</file>