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41" w:rsidRPr="005F4698" w:rsidRDefault="00E33B41" w:rsidP="00E33B41">
      <w:pPr>
        <w:pStyle w:val="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42"/>
          <w:szCs w:val="42"/>
        </w:rPr>
      </w:pPr>
      <w:r w:rsidRPr="005F4698">
        <w:rPr>
          <w:bCs w:val="0"/>
          <w:color w:val="000000"/>
          <w:sz w:val="28"/>
          <w:szCs w:val="28"/>
        </w:rPr>
        <w:t>Пристав-исполнитель вправе установить новый срок исполнения</w:t>
      </w:r>
    </w:p>
    <w:p w:rsidR="00E33B41" w:rsidRPr="005F4698" w:rsidRDefault="00E33B41" w:rsidP="00E3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силу.</w:t>
      </w:r>
    </w:p>
    <w:p w:rsidR="00E33B41" w:rsidRPr="005F4698" w:rsidRDefault="00E33B41" w:rsidP="00E3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постановлению Конституционного Суда РФ от 13.04.2023 N 17-П «По делу о проверке конституционности части 2 статьи 17.15 Кодекса Российской Федерации об административных правонарушениях в связи с запросом Костромского областного суда» Конституционный Суд РФ признал часть 2 статьи 17.15 КоАП РФ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положениями части 2 статьи 3, части 1 статьи 6 и статьи 105 Федерального закона "Об исполнительном производстве",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части 2 статьи 17.15 КоАП РФ.</w:t>
      </w:r>
    </w:p>
    <w:p w:rsidR="00E33B41" w:rsidRPr="005F4698" w:rsidRDefault="00E33B41" w:rsidP="00E3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2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части 2 статьи 17.15 КоАП РФ, т.е. немотивированно ограничивая применение административно-</w:t>
      </w:r>
      <w:proofErr w:type="spellStart"/>
      <w:r w:rsidRPr="005F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деликтных</w:t>
      </w:r>
      <w:proofErr w:type="spellEnd"/>
      <w:r w:rsidRPr="005F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</w:p>
    <w:p w:rsidR="00A535E6" w:rsidRPr="00E33B41" w:rsidRDefault="00A535E6" w:rsidP="00E33B41">
      <w:bookmarkStart w:id="0" w:name="_GoBack"/>
      <w:bookmarkEnd w:id="0"/>
    </w:p>
    <w:sectPr w:rsidR="00A535E6" w:rsidRPr="00E33B41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E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C881"/>
  <w15:docId w15:val="{5E36AD64-42E0-4DAE-B76C-C49D8FA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2023-06-15T12:39:00Z</dcterms:modified>
</cp:coreProperties>
</file>